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0A17D" w14:textId="77777777" w:rsidR="00442687" w:rsidRDefault="00F43C00" w:rsidP="00442687">
      <w:pPr>
        <w:tabs>
          <w:tab w:val="left" w:pos="915"/>
        </w:tabs>
        <w:jc w:val="left"/>
      </w:pPr>
      <w:r>
        <w:rPr>
          <w:noProof/>
          <w:lang w:eastAsia="pl-PL"/>
        </w:rPr>
        <w:drawing>
          <wp:anchor distT="0" distB="0" distL="114300" distR="114300" simplePos="0" relativeHeight="251661824" behindDoc="1" locked="0" layoutInCell="1" allowOverlap="1" wp14:anchorId="4CB16885" wp14:editId="3084DF96">
            <wp:simplePos x="0" y="0"/>
            <wp:positionH relativeFrom="page">
              <wp:posOffset>0</wp:posOffset>
            </wp:positionH>
            <wp:positionV relativeFrom="paragraph">
              <wp:posOffset>-201930</wp:posOffset>
            </wp:positionV>
            <wp:extent cx="7549515" cy="8429625"/>
            <wp:effectExtent l="0" t="0" r="0" b="9525"/>
            <wp:wrapNone/>
            <wp:docPr id="5" name="Obraz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alityczny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75458" w:rsidRPr="003E3916">
        <w:rPr>
          <w:noProof/>
          <w:lang w:eastAsia="pl-PL"/>
        </w:rPr>
        <w:drawing>
          <wp:anchor distT="0" distB="0" distL="114300" distR="114300" simplePos="0" relativeHeight="251654656" behindDoc="0" locked="0" layoutInCell="1" allowOverlap="1" wp14:anchorId="1AE0F5AC" wp14:editId="43151801">
            <wp:simplePos x="0" y="0"/>
            <wp:positionH relativeFrom="column">
              <wp:posOffset>-904875</wp:posOffset>
            </wp:positionH>
            <wp:positionV relativeFrom="paragraph">
              <wp:posOffset>-481965</wp:posOffset>
            </wp:positionV>
            <wp:extent cx="7559675" cy="1440815"/>
            <wp:effectExtent l="0" t="0" r="0" b="0"/>
            <wp:wrapNone/>
            <wp:docPr id="4" name="Obraz 4" descr="Logo Urzędu Komunikacji Elektronicz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KE logo dokument wewnetrzny0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dt>
      <w:sdtPr>
        <w:id w:val="-999113367"/>
        <w:docPartObj>
          <w:docPartGallery w:val="Cover Pages"/>
          <w:docPartUnique/>
        </w:docPartObj>
      </w:sdtPr>
      <w:sdtEndPr/>
      <w:sdtContent>
        <w:p w14:paraId="539E66F2" w14:textId="6BC6D75B" w:rsidR="002E3FCB" w:rsidRPr="003E3916" w:rsidRDefault="002E3FCB" w:rsidP="00442687">
          <w:pPr>
            <w:tabs>
              <w:tab w:val="left" w:pos="915"/>
            </w:tabs>
            <w:jc w:val="left"/>
          </w:pPr>
        </w:p>
        <w:tbl>
          <w:tblPr>
            <w:tblpPr w:leftFromText="187" w:rightFromText="187" w:vertAnchor="page" w:horzAnchor="page" w:tblpX="1" w:tblpY="4321"/>
            <w:tblW w:w="6457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1713"/>
          </w:tblGrid>
          <w:tr w:rsidR="00757159" w:rsidRPr="003E3916" w14:paraId="78FE3CA7" w14:textId="77777777" w:rsidTr="00A3544F">
            <w:trPr>
              <w:trHeight w:val="1138"/>
            </w:trPr>
            <w:tc>
              <w:tcPr>
                <w:tcW w:w="5000" w:type="pct"/>
                <w:shd w:val="clear" w:color="auto" w:fill="C7D540" w:themeFill="accent2"/>
              </w:tcPr>
              <w:bookmarkStart w:id="0" w:name="_Toc520153786" w:displacedByCustomXml="next"/>
              <w:bookmarkStart w:id="1" w:name="_Toc519856822" w:displacedByCustomXml="next"/>
              <w:sdt>
                <w:sdtPr>
                  <w:rPr>
                    <w:rFonts w:eastAsiaTheme="majorEastAsia" w:cstheme="minorHAnsi"/>
                    <w:color w:val="6D6D6D" w:themeColor="background2" w:themeShade="80"/>
                    <w:sz w:val="56"/>
                    <w:szCs w:val="56"/>
                  </w:rPr>
                  <w:alias w:val="Tytuł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7EE02BD3" w14:textId="601D326A" w:rsidR="00757159" w:rsidRPr="00A3544F" w:rsidRDefault="002F557C" w:rsidP="002F557C">
                    <w:pPr>
                      <w:pStyle w:val="Bezodstpw"/>
                      <w:spacing w:line="216" w:lineRule="auto"/>
                      <w:ind w:left="1417"/>
                      <w:jc w:val="left"/>
                      <w:rPr>
                        <w:rFonts w:eastAsiaTheme="majorEastAsia" w:cstheme="minorHAnsi"/>
                        <w:color w:val="6D6D6D" w:themeColor="background2" w:themeShade="80"/>
                        <w:sz w:val="88"/>
                        <w:szCs w:val="88"/>
                      </w:rPr>
                    </w:pPr>
                    <w:r w:rsidRPr="001E3C6A">
                      <w:rPr>
                        <w:rFonts w:eastAsiaTheme="majorEastAsia" w:cstheme="minorHAnsi"/>
                        <w:color w:val="6D6D6D" w:themeColor="background2" w:themeShade="80"/>
                        <w:sz w:val="56"/>
                        <w:szCs w:val="56"/>
                      </w:rPr>
                      <w:t>Testy Ekonomicznej Odtwarzalności-ERT dla Orange Polska S.A.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57159" w:rsidRPr="003E3916" w14:paraId="121F0E85" w14:textId="77777777" w:rsidTr="00A3544F">
            <w:trPr>
              <w:trHeight w:val="134"/>
            </w:trPr>
            <w:sdt>
              <w:sdtPr>
                <w:rPr>
                  <w:color w:val="6D6D6D" w:themeColor="accent4" w:themeShade="80"/>
                  <w:sz w:val="36"/>
                  <w:szCs w:val="36"/>
                </w:rPr>
                <w:alias w:val="Podtytuł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shd w:val="clear" w:color="auto" w:fill="C7D540" w:themeFill="accent2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C69CE60" w14:textId="575557E8" w:rsidR="00757159" w:rsidRPr="003E3916" w:rsidRDefault="00525F63" w:rsidP="00A3544F">
                    <w:pPr>
                      <w:pStyle w:val="Bezodstpw"/>
                      <w:ind w:left="1417"/>
                      <w:rPr>
                        <w:color w:val="4A4A49"/>
                        <w:sz w:val="36"/>
                        <w:szCs w:val="36"/>
                      </w:rPr>
                    </w:pPr>
                    <w:r w:rsidRPr="002F557C">
                      <w:rPr>
                        <w:color w:val="6D6D6D" w:themeColor="accent4" w:themeShade="80"/>
                        <w:sz w:val="36"/>
                        <w:szCs w:val="36"/>
                      </w:rPr>
                      <w:t>Opis narzędzia</w:t>
                    </w:r>
                  </w:p>
                </w:tc>
              </w:sdtContent>
            </w:sdt>
          </w:tr>
        </w:tbl>
        <w:p w14:paraId="4C7CCF65" w14:textId="2162C986" w:rsidR="0083025B" w:rsidRPr="003E3916" w:rsidRDefault="00AE1A36" w:rsidP="003E0182">
          <w:pPr>
            <w:jc w:val="left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2D5A4AB9" wp14:editId="4570AAB6">
                    <wp:simplePos x="0" y="0"/>
                    <wp:positionH relativeFrom="page">
                      <wp:posOffset>-9525</wp:posOffset>
                    </wp:positionH>
                    <wp:positionV relativeFrom="margin">
                      <wp:posOffset>7437120</wp:posOffset>
                    </wp:positionV>
                    <wp:extent cx="7559675" cy="2705100"/>
                    <wp:effectExtent l="0" t="0" r="3175" b="0"/>
                    <wp:wrapSquare wrapText="bothSides"/>
                    <wp:docPr id="12" name="Pole tekstow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559675" cy="2705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5116D7" w14:textId="77777777" w:rsidR="00F43C00" w:rsidRDefault="00F43C00" w:rsidP="00F43C00">
                                <w:pPr>
                                  <w:pStyle w:val="Stopka"/>
                                  <w:jc w:val="right"/>
                                  <w:rPr>
                                    <w:color w:val="4A4A49" w:themeColor="text2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32E607A1" w14:textId="77777777" w:rsidR="00F43C00" w:rsidRDefault="00F43C00" w:rsidP="00F43C00">
                                <w:pPr>
                                  <w:pStyle w:val="Stopka"/>
                                  <w:jc w:val="center"/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  <w:t>Urząd Komunikacji Elektronicznej</w:t>
                                </w:r>
                              </w:p>
                              <w:p w14:paraId="3DBF76F1" w14:textId="77777777" w:rsidR="00F43C00" w:rsidRDefault="00F43C00" w:rsidP="00F43C00">
                                <w:pPr>
                                  <w:pStyle w:val="Stopka"/>
                                  <w:jc w:val="center"/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  <w:t xml:space="preserve">Warszawa, ul. Giełdowa 7/9, </w:t>
                                </w:r>
                                <w:r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  <w:br/>
                                  <w:t>tel. 22 53 49 440, fax 22 53 49 306, platforma e-usług: pue.uke.gov.pl</w:t>
                                </w:r>
                              </w:p>
                              <w:p w14:paraId="7542D204" w14:textId="77777777" w:rsidR="00F43C00" w:rsidRDefault="00F43C00" w:rsidP="00F43C00">
                                <w:pPr>
                                  <w:pStyle w:val="Stopka"/>
                                  <w:jc w:val="center"/>
                                  <w:rPr>
                                    <w:rFonts w:asciiTheme="minorHAnsi" w:hAnsiTheme="minorHAnsi" w:cs="Arial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F7FD4D2" w14:textId="77777777" w:rsidR="00F43C00" w:rsidRDefault="00F43C00" w:rsidP="00F43C00">
                                <w:pPr>
                                  <w:pStyle w:val="Stopka"/>
                                  <w:jc w:val="center"/>
                                </w:pPr>
                                <w:r>
                                  <w:rPr>
                                    <w:rFonts w:asciiTheme="minorHAnsi" w:hAnsiTheme="minorHAnsi" w:cs="Arial"/>
                                    <w:i/>
                                    <w:sz w:val="16"/>
                                    <w:szCs w:val="18"/>
                                  </w:rPr>
                                  <w:t>Pismo wydane w formie dokumentu elektronicznego i podpisane kwalifikowanym podpisem elektronicznym</w:t>
                                </w:r>
                              </w:p>
                              <w:p w14:paraId="50525983" w14:textId="79825FA6" w:rsidR="000C5EDD" w:rsidRPr="002A56DA" w:rsidRDefault="000C5EDD" w:rsidP="002A56DA">
                                <w:pPr>
                                  <w:pStyle w:val="stopkapierwszastrona"/>
                                  <w:jc w:val="center"/>
                                  <w:rPr>
                                    <w:rFonts w:asciiTheme="minorHAnsi" w:hAnsiTheme="minorHAnsi"/>
                                    <w:color w:val="4A4A49"/>
                                    <w:sz w:val="23"/>
                                    <w:szCs w:val="23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9360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5A4AB9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2" o:spid="_x0000_s1026" type="#_x0000_t202" style="position:absolute;margin-left:-.75pt;margin-top:585.6pt;width:595.25pt;height:21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" filled="f" stroked="f">
                    <v:path arrowok="t"/>
                    <v:textbox inset="0,0,0,26mm">
                      <w:txbxContent>
                        <w:p w14:paraId="255116D7" w14:textId="77777777" w:rsidR="00F43C00" w:rsidRDefault="00F43C00" w:rsidP="00F43C00">
                          <w:pPr>
                            <w:pStyle w:val="Stopka"/>
                            <w:jc w:val="right"/>
                            <w:rPr>
                              <w:color w:val="4A4A49" w:themeColor="text2"/>
                              <w:sz w:val="18"/>
                              <w:szCs w:val="18"/>
                            </w:rPr>
                          </w:pPr>
                        </w:p>
                        <w:p w14:paraId="32E607A1" w14:textId="77777777" w:rsidR="00F43C00" w:rsidRDefault="00F43C00" w:rsidP="00F43C00">
                          <w:pPr>
                            <w:pStyle w:val="Stopka"/>
                            <w:jc w:val="center"/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  <w:t>Urząd Komunikacji Elektronicznej</w:t>
                          </w:r>
                        </w:p>
                        <w:p w14:paraId="3DBF76F1" w14:textId="77777777" w:rsidR="00F43C00" w:rsidRDefault="00F43C00" w:rsidP="00F43C00">
                          <w:pPr>
                            <w:pStyle w:val="Stopka"/>
                            <w:jc w:val="center"/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  <w:t xml:space="preserve">Warszawa, ul. Giełdowa 7/9, </w:t>
                          </w:r>
                          <w:r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  <w:br/>
                            <w:t>tel. 22 53 49 440, fax 22 53 49 306, platforma e-usług: pue.uke.gov.pl</w:t>
                          </w:r>
                        </w:p>
                        <w:p w14:paraId="7542D204" w14:textId="77777777" w:rsidR="00F43C00" w:rsidRDefault="00F43C00" w:rsidP="00F43C00">
                          <w:pPr>
                            <w:pStyle w:val="Stopka"/>
                            <w:jc w:val="center"/>
                            <w:rPr>
                              <w:rFonts w:asciiTheme="minorHAnsi" w:hAnsiTheme="minorHAnsi" w:cs="Arial"/>
                              <w:sz w:val="16"/>
                              <w:szCs w:val="16"/>
                            </w:rPr>
                          </w:pPr>
                        </w:p>
                        <w:p w14:paraId="1F7FD4D2" w14:textId="77777777" w:rsidR="00F43C00" w:rsidRDefault="00F43C00" w:rsidP="00F43C00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Fonts w:asciiTheme="minorHAnsi" w:hAnsiTheme="minorHAnsi" w:cs="Arial"/>
                              <w:i/>
                              <w:sz w:val="16"/>
                              <w:szCs w:val="18"/>
                            </w:rPr>
                            <w:t>Pismo wydane w formie dokumentu elektronicznego i podpisane kwalifikowanym podpisem elektronicznym</w:t>
                          </w:r>
                        </w:p>
                        <w:p w14:paraId="50525983" w14:textId="79825FA6" w:rsidR="000C5EDD" w:rsidRPr="002A56DA" w:rsidRDefault="000C5EDD" w:rsidP="002A56DA">
                          <w:pPr>
                            <w:pStyle w:val="stopkapierwszastrona"/>
                            <w:jc w:val="center"/>
                            <w:rPr>
                              <w:rFonts w:asciiTheme="minorHAnsi" w:hAnsiTheme="minorHAnsi"/>
                              <w:color w:val="4A4A49"/>
                              <w:sz w:val="23"/>
                              <w:szCs w:val="23"/>
                            </w:rPr>
                          </w:pP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757159" w:rsidRPr="003E3916">
            <w:t xml:space="preserve"> </w:t>
          </w:r>
          <w:r w:rsidR="002E3FCB" w:rsidRPr="003E3916">
            <w:br w:type="page"/>
          </w:r>
        </w:p>
      </w:sdtContent>
    </w:sdt>
    <w:sdt>
      <w:sdtPr>
        <w:rPr>
          <w:rFonts w:asciiTheme="majorHAnsi" w:eastAsiaTheme="minorHAnsi" w:hAnsiTheme="majorHAnsi" w:cstheme="minorBidi"/>
          <w:b w:val="0"/>
          <w:color w:val="auto"/>
          <w:sz w:val="24"/>
          <w:szCs w:val="22"/>
          <w:lang w:eastAsia="en-US"/>
        </w:rPr>
        <w:id w:val="-1271620637"/>
        <w:docPartObj>
          <w:docPartGallery w:val="Table of Contents"/>
          <w:docPartUnique/>
        </w:docPartObj>
      </w:sdtPr>
      <w:sdtEndPr>
        <w:rPr>
          <w:bCs/>
          <w:sz w:val="23"/>
        </w:rPr>
      </w:sdtEndPr>
      <w:sdtContent>
        <w:p w14:paraId="6B2D2FAE" w14:textId="77777777" w:rsidR="00220369" w:rsidRPr="003E3916" w:rsidRDefault="00220369" w:rsidP="00CE1C95">
          <w:pPr>
            <w:pStyle w:val="Nagwekspisutreci"/>
            <w:framePr w:w="9088" w:h="713" w:hRule="exact" w:wrap="around" w:x="1417" w:y="2352"/>
          </w:pPr>
          <w:r w:rsidRPr="003E3916">
            <w:rPr>
              <w:rFonts w:asciiTheme="majorHAnsi" w:hAnsiTheme="majorHAnsi" w:cstheme="majorBidi"/>
              <w:color w:val="31418D"/>
              <w:szCs w:val="32"/>
            </w:rPr>
            <w:t>Spis treści</w:t>
          </w:r>
          <w:r w:rsidR="00DE10A6" w:rsidRPr="003E3916">
            <w:tab/>
          </w:r>
        </w:p>
        <w:p w14:paraId="01384CB5" w14:textId="41703811" w:rsidR="00881B9C" w:rsidRDefault="00380C69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r w:rsidRPr="003E3916">
            <w:fldChar w:fldCharType="begin"/>
          </w:r>
          <w:r w:rsidR="007F56D6" w:rsidRPr="003E3916">
            <w:instrText xml:space="preserve"> TOC \o "1-3" \h \z \u </w:instrText>
          </w:r>
          <w:r w:rsidRPr="003E3916">
            <w:fldChar w:fldCharType="separate"/>
          </w:r>
          <w:hyperlink w:anchor="_Toc75849041" w:history="1">
            <w:r w:rsidR="00881B9C" w:rsidRPr="00674FAA">
              <w:rPr>
                <w:rStyle w:val="Hipercze"/>
                <w:noProof/>
              </w:rPr>
              <w:t>1.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Ogólne informacje dotyczące przeprowadzenia Testu ERT dla usług światłowodowych BSA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_Toc75849041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 w:rsidR="0050005F">
              <w:rPr>
                <w:noProof/>
                <w:webHidden/>
              </w:rPr>
              <w:t>2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67E37FC9" w14:textId="631952A9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2" w:history="1">
            <w:r w:rsidR="00881B9C" w:rsidRPr="00674FAA">
              <w:rPr>
                <w:rStyle w:val="Hipercze"/>
                <w:rFonts w:eastAsiaTheme="minorHAnsi"/>
                <w:noProof/>
              </w:rPr>
              <w:t>2.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Opis narzędzia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_Toc75849042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1DAA3F87" w14:textId="250D5539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3" w:history="1">
            <w:r w:rsidR="00881B9C" w:rsidRPr="00674FAA">
              <w:rPr>
                <w:rStyle w:val="Hipercze"/>
                <w:noProof/>
              </w:rPr>
              <w:t>3.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przeprowadzania kalkulacji w ramach Testu ERT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_Toc75849043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2753E680" w14:textId="722975E8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4" w:history="1">
            <w:r w:rsidR="00881B9C" w:rsidRPr="00674FAA">
              <w:rPr>
                <w:rStyle w:val="Hipercze"/>
                <w:noProof/>
              </w:rPr>
              <w:t>4.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przeprowadzania kalkulacji w ramach arkusza Opłaty detaliczne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_Toc75849044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58BE88C7" w14:textId="572DE691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5" w:history="1">
            <w:r w:rsidR="00881B9C" w:rsidRPr="00674FAA">
              <w:rPr>
                <w:rStyle w:val="Hipercze"/>
                <w:noProof/>
              </w:rPr>
              <w:t>5.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wyznaczania opłat w ramach arkusza Opłaty hurtowe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_Toc75849045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209210B0" w14:textId="0F9F12C5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6" w:history="1">
            <w:r w:rsidR="00881B9C" w:rsidRPr="00674FAA">
              <w:rPr>
                <w:rStyle w:val="Hipercze"/>
                <w:noProof/>
              </w:rPr>
              <w:t>6.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wyznaczania kosztów w ramach arkusza Koszty sieciowe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_Toc75849046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1E96F3FA" w14:textId="649FCD61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7" w:history="1">
            <w:r w:rsidR="00881B9C" w:rsidRPr="00674FAA">
              <w:rPr>
                <w:rStyle w:val="Hipercze"/>
                <w:noProof/>
              </w:rPr>
              <w:t>7.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wyznaczania kosztów w ramach arkusza Koszty detaliczne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_Toc75849047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201A6E9A" w14:textId="6196FCD2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8" w:history="1">
            <w:r w:rsidR="00881B9C" w:rsidRPr="00674FAA">
              <w:rPr>
                <w:rStyle w:val="Hipercze"/>
                <w:noProof/>
              </w:rPr>
              <w:t>8.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Zasady wyznaczania rozsądnej marży w ramach arkusza Marża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_Toc75849048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3111C6F0" w14:textId="4262A0CE" w:rsidR="00881B9C" w:rsidRDefault="0050005F">
          <w:pPr>
            <w:pStyle w:val="Spistreci2"/>
            <w:rPr>
              <w:rFonts w:asciiTheme="minorHAnsi" w:hAnsiTheme="minorHAnsi" w:cstheme="minorBidi"/>
              <w:noProof/>
              <w:color w:val="auto"/>
            </w:rPr>
          </w:pPr>
          <w:hyperlink w:anchor="_Toc75849049" w:history="1">
            <w:r w:rsidR="00881B9C" w:rsidRPr="00674FAA">
              <w:rPr>
                <w:rStyle w:val="Hipercze"/>
                <w:noProof/>
              </w:rPr>
              <w:t>9.</w:t>
            </w:r>
            <w:r w:rsidR="00881B9C">
              <w:rPr>
                <w:rFonts w:asciiTheme="minorHAnsi" w:hAnsiTheme="minorHAnsi" w:cstheme="minorBidi"/>
                <w:noProof/>
                <w:color w:val="auto"/>
              </w:rPr>
              <w:tab/>
            </w:r>
            <w:r w:rsidR="00881B9C" w:rsidRPr="00674FAA">
              <w:rPr>
                <w:rStyle w:val="Hipercze"/>
                <w:noProof/>
              </w:rPr>
              <w:t>Arkusz Wynik</w:t>
            </w:r>
            <w:r w:rsidR="00881B9C">
              <w:rPr>
                <w:noProof/>
                <w:webHidden/>
              </w:rPr>
              <w:tab/>
            </w:r>
            <w:r w:rsidR="00881B9C">
              <w:rPr>
                <w:noProof/>
                <w:webHidden/>
              </w:rPr>
              <w:fldChar w:fldCharType="begin"/>
            </w:r>
            <w:r w:rsidR="00881B9C">
              <w:rPr>
                <w:noProof/>
                <w:webHidden/>
              </w:rPr>
              <w:instrText xml:space="preserve"> PAGEREF _Toc75849049 \h </w:instrText>
            </w:r>
            <w:r w:rsidR="00881B9C">
              <w:rPr>
                <w:noProof/>
                <w:webHidden/>
              </w:rPr>
            </w:r>
            <w:r w:rsidR="00881B9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81B9C">
              <w:rPr>
                <w:noProof/>
                <w:webHidden/>
              </w:rPr>
              <w:fldChar w:fldCharType="end"/>
            </w:r>
          </w:hyperlink>
        </w:p>
        <w:p w14:paraId="757093A1" w14:textId="390B4A90" w:rsidR="00220369" w:rsidRPr="003E3916" w:rsidRDefault="00380C69" w:rsidP="003E0182">
          <w:pPr>
            <w:jc w:val="left"/>
          </w:pPr>
          <w:r w:rsidRPr="003E3916">
            <w:rPr>
              <w:rFonts w:eastAsiaTheme="minorEastAsia" w:cs="Times New Roman"/>
              <w:color w:val="4A4A49" w:themeColor="text2"/>
              <w:sz w:val="22"/>
              <w:lang w:eastAsia="pl-PL"/>
            </w:rPr>
            <w:fldChar w:fldCharType="end"/>
          </w:r>
        </w:p>
      </w:sdtContent>
    </w:sdt>
    <w:p w14:paraId="7540B1CE" w14:textId="4F930FF6" w:rsidR="00BB22E0" w:rsidRPr="00442687" w:rsidRDefault="00613B8A" w:rsidP="00442687">
      <w:pPr>
        <w:pStyle w:val="Tytu"/>
        <w:spacing w:after="360"/>
        <w:rPr>
          <w:rFonts w:ascii="Calibri Light" w:hAnsi="Calibri Light"/>
          <w:b/>
          <w:sz w:val="24"/>
          <w:szCs w:val="24"/>
        </w:rPr>
      </w:pPr>
      <w:bookmarkStart w:id="2" w:name="_GoBack"/>
      <w:bookmarkEnd w:id="2"/>
      <w:r>
        <w:rPr>
          <w:color w:val="FF0000"/>
        </w:rPr>
        <w:br w:type="column"/>
      </w:r>
      <w:bookmarkStart w:id="3" w:name="_Toc511821891"/>
      <w:bookmarkStart w:id="4" w:name="_Toc511822838"/>
      <w:bookmarkStart w:id="5" w:name="_Toc511822948"/>
      <w:r w:rsidR="00BB22E0" w:rsidRPr="00442687">
        <w:rPr>
          <w:rFonts w:ascii="Calibri Light" w:hAnsi="Calibri Light"/>
          <w:b/>
          <w:sz w:val="24"/>
          <w:szCs w:val="24"/>
        </w:rPr>
        <w:lastRenderedPageBreak/>
        <w:t xml:space="preserve">Niniejszy dokument stanowi opis narzędzia przeznaczonego do przeprowadzenia </w:t>
      </w:r>
      <w:r w:rsidR="00375590" w:rsidRPr="00442687">
        <w:rPr>
          <w:rFonts w:ascii="Calibri Light" w:hAnsi="Calibri Light"/>
          <w:b/>
          <w:sz w:val="24"/>
          <w:szCs w:val="24"/>
        </w:rPr>
        <w:t>t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estu </w:t>
      </w:r>
      <w:r w:rsidR="00375590" w:rsidRPr="00442687">
        <w:rPr>
          <w:rFonts w:ascii="Calibri Light" w:hAnsi="Calibri Light"/>
          <w:b/>
          <w:sz w:val="24"/>
          <w:szCs w:val="24"/>
        </w:rPr>
        <w:t>ekonomicznej odtwarzalności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 (</w:t>
      </w:r>
      <w:r w:rsidR="00EB2EF5" w:rsidRPr="00442687">
        <w:rPr>
          <w:rFonts w:ascii="Calibri Light" w:hAnsi="Calibri Light"/>
          <w:b/>
          <w:sz w:val="24"/>
          <w:szCs w:val="24"/>
        </w:rPr>
        <w:t xml:space="preserve">dalej „Test </w:t>
      </w:r>
      <w:r w:rsidR="00375590" w:rsidRPr="00442687">
        <w:rPr>
          <w:rFonts w:ascii="Calibri Light" w:hAnsi="Calibri Light"/>
          <w:b/>
          <w:sz w:val="24"/>
          <w:szCs w:val="24"/>
        </w:rPr>
        <w:t>ERT</w:t>
      </w:r>
      <w:r w:rsidR="00EB2EF5" w:rsidRPr="00442687">
        <w:rPr>
          <w:rFonts w:ascii="Calibri Light" w:hAnsi="Calibri Light"/>
          <w:b/>
          <w:sz w:val="24"/>
          <w:szCs w:val="24"/>
        </w:rPr>
        <w:t>”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) dla Usług </w:t>
      </w:r>
      <w:r w:rsidR="00BC151B" w:rsidRPr="00442687">
        <w:rPr>
          <w:rFonts w:ascii="Calibri Light" w:hAnsi="Calibri Light"/>
          <w:b/>
          <w:sz w:val="24"/>
          <w:szCs w:val="24"/>
        </w:rPr>
        <w:t xml:space="preserve">światłowodowych </w:t>
      </w:r>
      <w:r w:rsidR="00BB22E0" w:rsidRPr="00442687">
        <w:rPr>
          <w:rFonts w:ascii="Calibri Light" w:hAnsi="Calibri Light"/>
          <w:b/>
          <w:sz w:val="24"/>
          <w:szCs w:val="24"/>
        </w:rPr>
        <w:t>BSA</w:t>
      </w:r>
      <w:r w:rsidR="001E3C6A" w:rsidRPr="00442687">
        <w:rPr>
          <w:rFonts w:ascii="Calibri Light" w:hAnsi="Calibri Light"/>
          <w:b/>
          <w:sz w:val="24"/>
          <w:szCs w:val="24"/>
        </w:rPr>
        <w:br/>
      </w:r>
      <w:r w:rsidR="00EB2EF5" w:rsidRPr="00442687">
        <w:rPr>
          <w:rFonts w:ascii="Calibri Light" w:hAnsi="Calibri Light"/>
          <w:b/>
          <w:sz w:val="24"/>
          <w:szCs w:val="24"/>
        </w:rPr>
        <w:t>(dalej „Usług</w:t>
      </w:r>
      <w:r w:rsidR="00950512" w:rsidRPr="00442687">
        <w:rPr>
          <w:rFonts w:ascii="Calibri Light" w:hAnsi="Calibri Light"/>
          <w:b/>
          <w:sz w:val="24"/>
          <w:szCs w:val="24"/>
        </w:rPr>
        <w:t>a</w:t>
      </w:r>
      <w:r w:rsidR="00EB2EF5" w:rsidRPr="00442687">
        <w:rPr>
          <w:rFonts w:ascii="Calibri Light" w:hAnsi="Calibri Light"/>
          <w:b/>
          <w:sz w:val="24"/>
          <w:szCs w:val="24"/>
        </w:rPr>
        <w:t xml:space="preserve"> hurtow</w:t>
      </w:r>
      <w:r w:rsidR="00950512" w:rsidRPr="00442687">
        <w:rPr>
          <w:rFonts w:ascii="Calibri Light" w:hAnsi="Calibri Light"/>
          <w:b/>
          <w:sz w:val="24"/>
          <w:szCs w:val="24"/>
        </w:rPr>
        <w:t>a</w:t>
      </w:r>
      <w:r w:rsidR="00EB2EF5" w:rsidRPr="00442687">
        <w:rPr>
          <w:rFonts w:ascii="Calibri Light" w:hAnsi="Calibri Light"/>
          <w:b/>
          <w:sz w:val="24"/>
          <w:szCs w:val="24"/>
        </w:rPr>
        <w:t>”)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 zrealizowanyc</w:t>
      </w:r>
      <w:r w:rsidR="00A159D6" w:rsidRPr="00442687">
        <w:rPr>
          <w:rFonts w:ascii="Calibri Light" w:hAnsi="Calibri Light"/>
          <w:b/>
          <w:sz w:val="24"/>
          <w:szCs w:val="24"/>
        </w:rPr>
        <w:t xml:space="preserve">h </w:t>
      </w:r>
      <w:r w:rsidR="00BC151B" w:rsidRPr="00442687">
        <w:rPr>
          <w:rFonts w:ascii="Calibri Light" w:hAnsi="Calibri Light"/>
          <w:b/>
          <w:sz w:val="24"/>
          <w:szCs w:val="24"/>
        </w:rPr>
        <w:t>na podstawie Oferty FTTH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. Dokument ten </w:t>
      </w:r>
      <w:r w:rsidR="00BC151B" w:rsidRPr="00442687">
        <w:rPr>
          <w:rFonts w:ascii="Calibri Light" w:hAnsi="Calibri Light"/>
          <w:b/>
          <w:sz w:val="24"/>
          <w:szCs w:val="24"/>
        </w:rPr>
        <w:t xml:space="preserve">ma </w:t>
      </w:r>
      <w:r w:rsidR="00BB22E0" w:rsidRPr="00442687">
        <w:rPr>
          <w:rFonts w:ascii="Calibri Light" w:hAnsi="Calibri Light"/>
          <w:b/>
          <w:sz w:val="24"/>
          <w:szCs w:val="24"/>
        </w:rPr>
        <w:t xml:space="preserve">służyć </w:t>
      </w:r>
      <w:r w:rsidR="00BC151B" w:rsidRPr="00442687">
        <w:rPr>
          <w:rFonts w:ascii="Calibri Light" w:hAnsi="Calibri Light"/>
          <w:b/>
          <w:sz w:val="24"/>
          <w:szCs w:val="24"/>
        </w:rPr>
        <w:t xml:space="preserve">Orange Polska S.A. </w:t>
      </w:r>
      <w:r w:rsidR="00E94CED" w:rsidRPr="00442687">
        <w:rPr>
          <w:rFonts w:ascii="Calibri Light" w:hAnsi="Calibri Light"/>
          <w:b/>
          <w:sz w:val="24"/>
          <w:szCs w:val="24"/>
        </w:rPr>
        <w:t xml:space="preserve">(OPL) </w:t>
      </w:r>
      <w:r w:rsidR="00BB22E0" w:rsidRPr="00442687">
        <w:rPr>
          <w:rFonts w:ascii="Calibri Light" w:hAnsi="Calibri Light"/>
          <w:b/>
          <w:sz w:val="24"/>
          <w:szCs w:val="24"/>
        </w:rPr>
        <w:t>wyjaśniając i ułatwiaj</w:t>
      </w:r>
      <w:r w:rsidR="00A159D6" w:rsidRPr="00442687">
        <w:rPr>
          <w:rFonts w:ascii="Calibri Light" w:hAnsi="Calibri Light"/>
          <w:b/>
          <w:sz w:val="24"/>
          <w:szCs w:val="24"/>
        </w:rPr>
        <w:t>ąc korzystanie z </w:t>
      </w:r>
      <w:r w:rsidR="00525F63" w:rsidRPr="00442687">
        <w:rPr>
          <w:rFonts w:ascii="Calibri Light" w:hAnsi="Calibri Light"/>
          <w:b/>
          <w:sz w:val="24"/>
          <w:szCs w:val="24"/>
        </w:rPr>
        <w:t>ww. narzędzia.</w:t>
      </w:r>
    </w:p>
    <w:p w14:paraId="4DF23122" w14:textId="77777777" w:rsidR="004E46AF" w:rsidRDefault="004E46AF" w:rsidP="00040E01">
      <w:pPr>
        <w:suppressAutoHyphens/>
        <w:spacing w:before="120" w:after="0" w:line="240" w:lineRule="auto"/>
        <w:jc w:val="left"/>
        <w:rPr>
          <w:rFonts w:ascii="Calibri Light" w:hAnsi="Calibri Light"/>
          <w:szCs w:val="23"/>
        </w:rPr>
      </w:pPr>
      <w:r w:rsidRPr="00D05159">
        <w:rPr>
          <w:rFonts w:ascii="Calibri Light" w:hAnsi="Calibri Light"/>
          <w:szCs w:val="23"/>
        </w:rPr>
        <w:t xml:space="preserve">Pojęcia niezdefiniowane w niniejszym dokumencie należy rozumieć zgodnie </w:t>
      </w:r>
      <w:r w:rsidR="00BB22E0">
        <w:rPr>
          <w:rFonts w:ascii="Calibri Light" w:hAnsi="Calibri Light"/>
          <w:szCs w:val="23"/>
        </w:rPr>
        <w:t xml:space="preserve">ze znaczeniem nadanym w </w:t>
      </w:r>
      <w:r w:rsidR="007008EC">
        <w:rPr>
          <w:rFonts w:ascii="Calibri Light" w:hAnsi="Calibri Light"/>
          <w:szCs w:val="23"/>
        </w:rPr>
        <w:t>„</w:t>
      </w:r>
      <w:r w:rsidR="00BC151B">
        <w:rPr>
          <w:rFonts w:ascii="Calibri Light" w:hAnsi="Calibri Light"/>
          <w:szCs w:val="23"/>
        </w:rPr>
        <w:t>Ofercie FTTH”.</w:t>
      </w:r>
    </w:p>
    <w:p w14:paraId="5F53C495" w14:textId="77777777" w:rsidR="00C12754" w:rsidRDefault="004E46AF" w:rsidP="00C47A9E">
      <w:pPr>
        <w:pStyle w:val="Nagwek2"/>
      </w:pPr>
      <w:bookmarkStart w:id="6" w:name="_Toc75849041"/>
      <w:r w:rsidRPr="004E46AF">
        <w:t xml:space="preserve">Ogólne informacje dotyczące przeprowadzenia </w:t>
      </w:r>
      <w:r w:rsidR="00BC151B">
        <w:t>Testu ERT</w:t>
      </w:r>
      <w:r w:rsidR="002243B2">
        <w:t xml:space="preserve"> dla usług</w:t>
      </w:r>
      <w:r w:rsidR="00BC151B">
        <w:t xml:space="preserve"> światłowodowych</w:t>
      </w:r>
      <w:r w:rsidR="002243B2">
        <w:t xml:space="preserve"> BSA</w:t>
      </w:r>
      <w:bookmarkEnd w:id="6"/>
      <w:r w:rsidR="002243B2">
        <w:t xml:space="preserve"> </w:t>
      </w:r>
    </w:p>
    <w:p w14:paraId="2BA9832A" w14:textId="698A7A28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r w:rsidRPr="00B4349F">
        <w:t xml:space="preserve">Celem Testu </w:t>
      </w:r>
      <w:r>
        <w:t>ERT</w:t>
      </w:r>
      <w:r w:rsidRPr="00B4349F">
        <w:t xml:space="preserve"> jest weryfikacja czy ceny za usługi detaliczne OPL zostały ustalone </w:t>
      </w:r>
      <w:r w:rsidR="00720DB7">
        <w:br/>
      </w:r>
      <w:r w:rsidRPr="00B4349F">
        <w:t xml:space="preserve">na poziomie, który umożliwia </w:t>
      </w:r>
      <w:r w:rsidR="00FE5DE7">
        <w:t>Przedsiębiorcom telekomunikacyjnym (dalej „</w:t>
      </w:r>
      <w:r w:rsidRPr="00B4349F">
        <w:t>PT</w:t>
      </w:r>
      <w:r w:rsidR="00FE5DE7">
        <w:t>”)</w:t>
      </w:r>
      <w:r w:rsidRPr="00B4349F">
        <w:t xml:space="preserve"> korzystającym z usług regulowanych, odtworzenie usług detalicznych konkurencyjnych </w:t>
      </w:r>
      <w:r w:rsidR="00FE5DE7">
        <w:br/>
      </w:r>
      <w:r w:rsidRPr="00B4349F">
        <w:t>w stosunku do usług detalicznych OPL.</w:t>
      </w:r>
    </w:p>
    <w:p w14:paraId="21199F7A" w14:textId="31C2B121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7" w:name="_Toc29471740"/>
      <w:bookmarkStart w:id="8" w:name="_Toc29472392"/>
      <w:r w:rsidRPr="00B4349F">
        <w:t xml:space="preserve">Test </w:t>
      </w:r>
      <w:r>
        <w:t>ERT</w:t>
      </w:r>
      <w:r w:rsidRPr="00B4349F">
        <w:t xml:space="preserve"> jest wykonywany w odniesieniu do usług detalicznych mających swój odpowiednik hurtowy w usługach regulowanych BSA w technologii FTTH.</w:t>
      </w:r>
      <w:bookmarkEnd w:id="7"/>
      <w:bookmarkEnd w:id="8"/>
      <w:r w:rsidRPr="00B4349F">
        <w:t xml:space="preserve"> Opłaty za usługi regulowane pochodzą z obowiązującej Oferty</w:t>
      </w:r>
      <w:r w:rsidR="00AA6D7D">
        <w:t xml:space="preserve"> FTTH, zatwierdzonej przez Prezesa UKE</w:t>
      </w:r>
      <w:r w:rsidRPr="00B4349F">
        <w:t>.</w:t>
      </w:r>
    </w:p>
    <w:p w14:paraId="6F07CE27" w14:textId="521FE306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9" w:name="_Toc29471741"/>
      <w:bookmarkStart w:id="10" w:name="_Toc29472393"/>
      <w:r w:rsidRPr="00B4349F">
        <w:t>Test</w:t>
      </w:r>
      <w:r w:rsidR="00AA6D7D">
        <w:t xml:space="preserve"> ERT</w:t>
      </w:r>
      <w:r w:rsidRPr="00B4349F">
        <w:t xml:space="preserve"> wykonywany jest w oparciu o koncepcję EEO (</w:t>
      </w:r>
      <w:r w:rsidR="0090468E">
        <w:t xml:space="preserve">ang. </w:t>
      </w:r>
      <w:r w:rsidRPr="00B4349F">
        <w:t xml:space="preserve">Equally Efficient Operator), </w:t>
      </w:r>
      <w:r w:rsidR="0090468E">
        <w:br/>
      </w:r>
      <w:r w:rsidRPr="00B4349F">
        <w:t xml:space="preserve">co oznacza, że dane dotyczące elementów sieci, procesów obsługi klienta, ich kosztów, zaangażowania i efektywności, przyjmowane są </w:t>
      </w:r>
      <w:r w:rsidR="004E49C3">
        <w:t>na podstawie</w:t>
      </w:r>
      <w:r w:rsidR="004E49C3" w:rsidRPr="00B4349F">
        <w:t xml:space="preserve"> </w:t>
      </w:r>
      <w:r w:rsidRPr="00B4349F">
        <w:t>danych</w:t>
      </w:r>
      <w:r w:rsidR="004E49C3">
        <w:t xml:space="preserve"> przekazanych przez</w:t>
      </w:r>
      <w:r w:rsidRPr="00B4349F">
        <w:t xml:space="preserve"> OPL.</w:t>
      </w:r>
      <w:bookmarkEnd w:id="9"/>
      <w:bookmarkEnd w:id="10"/>
    </w:p>
    <w:p w14:paraId="197CAF46" w14:textId="77777777" w:rsidR="0004484F" w:rsidRDefault="008C47FA" w:rsidP="0004484F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11" w:name="_Toc29471742"/>
      <w:bookmarkStart w:id="12" w:name="_Toc29472394"/>
      <w:r w:rsidRPr="00B4349F">
        <w:t>Test</w:t>
      </w:r>
      <w:r>
        <w:t xml:space="preserve"> ERT</w:t>
      </w:r>
      <w:r w:rsidRPr="00B4349F">
        <w:t xml:space="preserve"> jest wykonywany dla trzech najbardziej popularnych usług szerokopasmowych, o </w:t>
      </w:r>
      <w:r w:rsidR="00B47D33">
        <w:t>dominującym</w:t>
      </w:r>
      <w:r w:rsidRPr="00B4349F">
        <w:t xml:space="preserve"> wolumenie sprzedaży w poprzednim roku. Usługi</w:t>
      </w:r>
      <w:r w:rsidR="00534E98">
        <w:t xml:space="preserve"> będą testowane w koszyku usług, dla każdej opcji prędkości</w:t>
      </w:r>
      <w:r w:rsidR="0004484F">
        <w:t>.</w:t>
      </w:r>
    </w:p>
    <w:p w14:paraId="5F5CC2B4" w14:textId="57D81F91" w:rsidR="00BC151B" w:rsidRPr="00B4349F" w:rsidRDefault="00BC151B" w:rsidP="0004484F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r w:rsidRPr="00B4349F">
        <w:t>Test</w:t>
      </w:r>
      <w:r w:rsidR="00AA6D7D">
        <w:t xml:space="preserve"> ERT</w:t>
      </w:r>
      <w:r w:rsidRPr="00B4349F">
        <w:t xml:space="preserve"> wykonywany jest ex post raz w roku. Wynik samodzielnie wykonanego testu przekazywany jest przez OPL</w:t>
      </w:r>
      <w:r w:rsidR="00361A43">
        <w:t xml:space="preserve"> w celu weryfikacji</w:t>
      </w:r>
      <w:r w:rsidRPr="00B4349F">
        <w:t xml:space="preserve"> Prezesowi UKE do dnia 30 czerwca za rok </w:t>
      </w:r>
      <w:r w:rsidR="003E487C">
        <w:t>poprzedni</w:t>
      </w:r>
      <w:r w:rsidRPr="00B4349F">
        <w:t>.</w:t>
      </w:r>
      <w:bookmarkEnd w:id="11"/>
      <w:bookmarkEnd w:id="12"/>
      <w:r w:rsidR="006F726B">
        <w:t xml:space="preserve"> </w:t>
      </w:r>
      <w:r w:rsidR="008C47FA">
        <w:t xml:space="preserve">Do wyników Testu ERT, OPL załącza cenniki dla testowanych usług oraz informacje </w:t>
      </w:r>
      <w:r w:rsidR="004D29C4">
        <w:br/>
      </w:r>
      <w:r w:rsidR="008C47FA">
        <w:t>na temat wolumenu sprzedaży poszczególnych usług.</w:t>
      </w:r>
    </w:p>
    <w:p w14:paraId="04A66F07" w14:textId="77777777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13" w:name="_Toc29471743"/>
      <w:bookmarkStart w:id="14" w:name="_Toc29472395"/>
      <w:r w:rsidRPr="00B4349F">
        <w:t xml:space="preserve">Test </w:t>
      </w:r>
      <w:r w:rsidR="00AA6D7D">
        <w:t xml:space="preserve">ERT </w:t>
      </w:r>
      <w:r w:rsidRPr="00B4349F">
        <w:t xml:space="preserve">jest wykonywany </w:t>
      </w:r>
      <w:r w:rsidR="008C47FA">
        <w:t>z wykorzystaniem</w:t>
      </w:r>
      <w:r w:rsidRPr="00B4349F">
        <w:t xml:space="preserve"> aktualnych, zaudytowanych danych, za rok poprzedni.</w:t>
      </w:r>
      <w:bookmarkEnd w:id="13"/>
      <w:bookmarkEnd w:id="14"/>
      <w:r w:rsidRPr="00B4349F">
        <w:t xml:space="preserve"> </w:t>
      </w:r>
    </w:p>
    <w:p w14:paraId="7FFE07C7" w14:textId="7CB2A091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15" w:name="_Toc29471745"/>
      <w:bookmarkStart w:id="16" w:name="_Toc29472397"/>
      <w:r w:rsidRPr="00B4349F">
        <w:t>Wprowadzając nową ofertę detaliczną OPL informuje o tym UKE</w:t>
      </w:r>
      <w:r w:rsidR="00AC4471">
        <w:t xml:space="preserve"> oraz OA</w:t>
      </w:r>
      <w:r w:rsidRPr="00B4349F">
        <w:t xml:space="preserve"> najpóźniej w dniu wdrożenia</w:t>
      </w:r>
      <w:r w:rsidR="00E03305">
        <w:t>;</w:t>
      </w:r>
      <w:r w:rsidR="006F726B">
        <w:t xml:space="preserve"> do informacji o wdrożeniu OPL powinna załączyć cennik dla nowej usługi detalicznej</w:t>
      </w:r>
      <w:r w:rsidRPr="00B4349F">
        <w:t>.</w:t>
      </w:r>
      <w:bookmarkEnd w:id="15"/>
      <w:bookmarkEnd w:id="16"/>
      <w:r w:rsidRPr="00B4349F">
        <w:t xml:space="preserve"> </w:t>
      </w:r>
      <w:r w:rsidR="001A01AC" w:rsidRPr="00442687">
        <w:rPr>
          <w:szCs w:val="23"/>
        </w:rPr>
        <w:t xml:space="preserve">Ponadto, OPL przed wdrożeniem na rynek </w:t>
      </w:r>
      <w:r w:rsidR="001A01AC" w:rsidRPr="00442687">
        <w:rPr>
          <w:szCs w:val="23"/>
        </w:rPr>
        <w:lastRenderedPageBreak/>
        <w:t xml:space="preserve">nowej usługi detalicznej, wykona na własne potrzeby Test ERT, zapewniając trwałą archiwizację jego wyników przez okres minimum 1 roku, od daty przeprowadzenia. OPL przedstawi na żądanie Prezesa UKE, narzędzie zasilone danymi wraz z wynikiem, które posłużyło OPL do przeprowadzenia Testu ERT dla nowo wdrażanej usługi detalicznej (wyniki Testu ERT dla nowo wdrażanej usługi detalicznej, stanowią wyniki pierwotnego Testu ERT bez jakichkolwiek korekt/modyfikacji/dostosowania poziomu kosztów). Ponadto, wraz z wynikami Testu ERT ex post, przekazywanego do weryfikacji Prezesa UKE do dnia 30 czerwca za  rok </w:t>
      </w:r>
      <w:r w:rsidR="00993E0F">
        <w:rPr>
          <w:szCs w:val="23"/>
        </w:rPr>
        <w:t>poprzedni</w:t>
      </w:r>
      <w:r w:rsidR="003A076E">
        <w:rPr>
          <w:szCs w:val="23"/>
        </w:rPr>
        <w:t>,</w:t>
      </w:r>
      <w:r w:rsidR="001A01AC" w:rsidRPr="00442687">
        <w:rPr>
          <w:szCs w:val="23"/>
        </w:rPr>
        <w:t xml:space="preserve"> OPL przekaże komplet Testów ERT wykonywanych na własne potrzeby przez cały </w:t>
      </w:r>
      <w:r w:rsidR="00993E0F">
        <w:rPr>
          <w:szCs w:val="23"/>
        </w:rPr>
        <w:t xml:space="preserve">rok </w:t>
      </w:r>
      <w:r w:rsidR="003B4E33" w:rsidRPr="00442687">
        <w:rPr>
          <w:szCs w:val="23"/>
        </w:rPr>
        <w:t>poprzedni</w:t>
      </w:r>
      <w:r w:rsidR="00B23548" w:rsidRPr="00442687">
        <w:rPr>
          <w:szCs w:val="23"/>
        </w:rPr>
        <w:t>.</w:t>
      </w:r>
    </w:p>
    <w:p w14:paraId="4F7D4BE3" w14:textId="77777777" w:rsidR="00BC151B" w:rsidRPr="00B4349F" w:rsidRDefault="00BC151B" w:rsidP="00C47A9E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contextualSpacing w:val="0"/>
        <w:jc w:val="left"/>
      </w:pPr>
      <w:bookmarkStart w:id="17" w:name="_Toc29471746"/>
      <w:bookmarkStart w:id="18" w:name="_Toc29472398"/>
      <w:r w:rsidRPr="00B4349F">
        <w:t>W przypadku negatywnego wyniku Testu ERT, OPL jest zobowiązana do zmiany wysokości opłaty hurtowej lub detalicznej lub obu opłat umożliwiając pozytywny wynik Testu ERT.</w:t>
      </w:r>
      <w:bookmarkEnd w:id="17"/>
      <w:bookmarkEnd w:id="18"/>
    </w:p>
    <w:p w14:paraId="14D52134" w14:textId="77777777" w:rsidR="00AA6D7D" w:rsidRPr="00850FD7" w:rsidRDefault="00BC151B" w:rsidP="00C47A9E">
      <w:pPr>
        <w:pStyle w:val="Akapitzlist"/>
        <w:numPr>
          <w:ilvl w:val="0"/>
          <w:numId w:val="29"/>
        </w:numPr>
        <w:suppressAutoHyphens/>
        <w:spacing w:before="120" w:after="120" w:line="240" w:lineRule="auto"/>
        <w:ind w:left="357" w:hanging="357"/>
        <w:contextualSpacing w:val="0"/>
        <w:jc w:val="left"/>
        <w:rPr>
          <w:sz w:val="24"/>
        </w:rPr>
      </w:pPr>
      <w:bookmarkStart w:id="19" w:name="_Toc29471771"/>
      <w:bookmarkStart w:id="20" w:name="_Toc29472423"/>
      <w:r w:rsidRPr="00B4349F">
        <w:t xml:space="preserve">Test ERT jest wykonywany przez OPL na narzędziu udostępnionym przez Prezesa UKE. </w:t>
      </w:r>
    </w:p>
    <w:p w14:paraId="4F678448" w14:textId="77777777" w:rsidR="00AA6D7D" w:rsidRDefault="00AA6D7D" w:rsidP="00440574"/>
    <w:bookmarkEnd w:id="19"/>
    <w:bookmarkEnd w:id="20"/>
    <w:p w14:paraId="514AA76E" w14:textId="77777777" w:rsidR="00872F3D" w:rsidRPr="006A2EA4" w:rsidRDefault="00872F3D" w:rsidP="00792964"/>
    <w:p w14:paraId="380608AB" w14:textId="77777777" w:rsidR="00C12754" w:rsidRPr="00040E01" w:rsidRDefault="0000034F" w:rsidP="00792964">
      <w:pPr>
        <w:pStyle w:val="Nagwek2"/>
        <w:rPr>
          <w:rFonts w:eastAsiaTheme="minorHAnsi"/>
          <w:b w:val="0"/>
        </w:rPr>
      </w:pPr>
      <w:bookmarkStart w:id="21" w:name="_Toc519856727"/>
      <w:bookmarkStart w:id="22" w:name="_Toc519856827"/>
      <w:bookmarkStart w:id="23" w:name="_Toc519856734"/>
      <w:bookmarkStart w:id="24" w:name="_Toc519856834"/>
      <w:bookmarkStart w:id="25" w:name="_Toc75849042"/>
      <w:bookmarkEnd w:id="21"/>
      <w:bookmarkEnd w:id="22"/>
      <w:bookmarkEnd w:id="23"/>
      <w:bookmarkEnd w:id="24"/>
      <w:r w:rsidRPr="00792964">
        <w:rPr>
          <w:rStyle w:val="Nagwek2Znak"/>
          <w:b/>
        </w:rPr>
        <w:t>Opis narzędzia</w:t>
      </w:r>
      <w:bookmarkEnd w:id="25"/>
    </w:p>
    <w:p w14:paraId="5A875C90" w14:textId="77777777" w:rsidR="00872F3D" w:rsidRPr="004406C4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4406C4">
        <w:rPr>
          <w:rFonts w:ascii="Calibri Light" w:hAnsi="Calibri Light"/>
          <w:szCs w:val="23"/>
        </w:rPr>
        <w:t xml:space="preserve">Test </w:t>
      </w:r>
      <w:r w:rsidR="008F54F6">
        <w:rPr>
          <w:rFonts w:ascii="Calibri Light" w:hAnsi="Calibri Light"/>
          <w:szCs w:val="23"/>
        </w:rPr>
        <w:t>ERT</w:t>
      </w:r>
      <w:r w:rsidR="008F54F6" w:rsidRPr="004406C4">
        <w:rPr>
          <w:rFonts w:ascii="Calibri Light" w:hAnsi="Calibri Light"/>
          <w:szCs w:val="23"/>
        </w:rPr>
        <w:t xml:space="preserve"> </w:t>
      </w:r>
      <w:r w:rsidRPr="004406C4">
        <w:rPr>
          <w:rFonts w:ascii="Calibri Light" w:hAnsi="Calibri Light"/>
          <w:szCs w:val="23"/>
        </w:rPr>
        <w:t xml:space="preserve">przeprowadza </w:t>
      </w:r>
      <w:r w:rsidR="008F54F6">
        <w:rPr>
          <w:rFonts w:ascii="Calibri Light" w:hAnsi="Calibri Light"/>
          <w:szCs w:val="23"/>
        </w:rPr>
        <w:t xml:space="preserve">OPL </w:t>
      </w:r>
      <w:r w:rsidRPr="004406C4">
        <w:rPr>
          <w:rFonts w:ascii="Calibri Light" w:hAnsi="Calibri Light"/>
          <w:szCs w:val="23"/>
        </w:rPr>
        <w:t xml:space="preserve">przy zastosowaniu </w:t>
      </w:r>
      <w:r w:rsidR="002A6896">
        <w:rPr>
          <w:rFonts w:ascii="Calibri Light" w:hAnsi="Calibri Light"/>
          <w:szCs w:val="23"/>
        </w:rPr>
        <w:t>n</w:t>
      </w:r>
      <w:r w:rsidRPr="004406C4">
        <w:rPr>
          <w:rFonts w:ascii="Calibri Light" w:hAnsi="Calibri Light"/>
          <w:szCs w:val="23"/>
        </w:rPr>
        <w:t>arzędzia udostępnionego przez Prezesa UKE.</w:t>
      </w:r>
    </w:p>
    <w:p w14:paraId="15F6F55A" w14:textId="77777777" w:rsidR="00872F3D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Model został przygotowany w oprogramowaniu Microsoft Excel, dlatego w celu wykonania </w:t>
      </w:r>
      <w:r w:rsidR="006E75F2">
        <w:rPr>
          <w:rFonts w:ascii="Calibri Light" w:hAnsi="Calibri Light"/>
          <w:szCs w:val="23"/>
        </w:rPr>
        <w:t xml:space="preserve">Testu </w:t>
      </w:r>
      <w:r w:rsidR="008F54F6">
        <w:rPr>
          <w:rFonts w:ascii="Calibri Light" w:hAnsi="Calibri Light"/>
          <w:szCs w:val="23"/>
        </w:rPr>
        <w:t xml:space="preserve">ERT </w:t>
      </w:r>
      <w:r>
        <w:rPr>
          <w:rFonts w:ascii="Calibri Light" w:hAnsi="Calibri Light"/>
          <w:szCs w:val="23"/>
        </w:rPr>
        <w:t>należy skorzystać z ww. programu albo oprogramowania kompatybilnego obsługującego arkusze kalkulacyjne Excel.</w:t>
      </w:r>
    </w:p>
    <w:p w14:paraId="3E2F4CE5" w14:textId="77777777" w:rsidR="00872F3D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Model zawiera trzy</w:t>
      </w:r>
      <w:r w:rsidR="00C269C7">
        <w:rPr>
          <w:rFonts w:ascii="Calibri Light" w:hAnsi="Calibri Light"/>
          <w:szCs w:val="23"/>
        </w:rPr>
        <w:t xml:space="preserve"> (3)</w:t>
      </w:r>
      <w:r>
        <w:rPr>
          <w:rFonts w:ascii="Calibri Light" w:hAnsi="Calibri Light"/>
          <w:szCs w:val="23"/>
        </w:rPr>
        <w:t xml:space="preserve"> rodzaje komórek:</w:t>
      </w:r>
    </w:p>
    <w:p w14:paraId="37A5C6CE" w14:textId="77777777" w:rsidR="008F54F6" w:rsidRDefault="008F54F6" w:rsidP="00440574">
      <w:pPr>
        <w:pStyle w:val="Akapitzlist"/>
        <w:suppressAutoHyphens/>
        <w:spacing w:before="120" w:after="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noProof/>
          <w:szCs w:val="23"/>
          <w:lang w:eastAsia="pl-PL"/>
        </w:rPr>
        <w:drawing>
          <wp:inline distT="0" distB="0" distL="0" distR="0" wp14:anchorId="7BF17019" wp14:editId="78666790">
            <wp:extent cx="5753735" cy="1035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8AFF7" w14:textId="77777777" w:rsidR="00872F3D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7A6EF2">
        <w:rPr>
          <w:rFonts w:ascii="Calibri Light" w:hAnsi="Calibri Light"/>
          <w:szCs w:val="23"/>
        </w:rPr>
        <w:t xml:space="preserve">Model </w:t>
      </w:r>
      <w:r w:rsidR="00C269C7">
        <w:rPr>
          <w:rFonts w:ascii="Calibri Light" w:hAnsi="Calibri Light"/>
          <w:szCs w:val="23"/>
        </w:rPr>
        <w:t>składa się z siedmiu (7) arkuszy: Opis, Opłaty detaliczne, Opłaty hurtowe, Koszty sieciowe, Koszty detaliczne, Marża oraz Wynik.</w:t>
      </w:r>
    </w:p>
    <w:p w14:paraId="47137C7C" w14:textId="77777777" w:rsidR="00C269C7" w:rsidRPr="007A6EF2" w:rsidRDefault="00C269C7" w:rsidP="00440574">
      <w:pPr>
        <w:pStyle w:val="Akapitzlist"/>
        <w:suppressAutoHyphens/>
        <w:spacing w:before="120" w:after="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noProof/>
          <w:szCs w:val="23"/>
          <w:lang w:eastAsia="pl-PL"/>
        </w:rPr>
        <w:lastRenderedPageBreak/>
        <w:drawing>
          <wp:inline distT="0" distB="0" distL="0" distR="0" wp14:anchorId="0BA00284" wp14:editId="148D3788">
            <wp:extent cx="5753735" cy="168211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B6E4C" w14:textId="77777777" w:rsidR="00872F3D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Test </w:t>
      </w:r>
      <w:r w:rsidR="00AE1808">
        <w:rPr>
          <w:rFonts w:ascii="Calibri Light" w:hAnsi="Calibri Light"/>
          <w:szCs w:val="23"/>
        </w:rPr>
        <w:t xml:space="preserve">ERT </w:t>
      </w:r>
      <w:r>
        <w:rPr>
          <w:rFonts w:ascii="Calibri Light" w:hAnsi="Calibri Light"/>
          <w:szCs w:val="23"/>
        </w:rPr>
        <w:t>przeprowadza się</w:t>
      </w:r>
      <w:r w:rsidRPr="007A6EF2">
        <w:rPr>
          <w:rFonts w:ascii="Calibri Light" w:hAnsi="Calibri Light"/>
          <w:szCs w:val="23"/>
        </w:rPr>
        <w:t xml:space="preserve"> dla następujących usług regulowanych</w:t>
      </w:r>
      <w:r>
        <w:rPr>
          <w:rFonts w:ascii="Calibri Light" w:hAnsi="Calibri Light"/>
          <w:szCs w:val="23"/>
        </w:rPr>
        <w:t xml:space="preserve"> (szczegółowe opisy usług dostępne są w </w:t>
      </w:r>
      <w:r w:rsidR="00C269C7">
        <w:rPr>
          <w:rFonts w:ascii="Calibri Light" w:hAnsi="Calibri Light"/>
          <w:szCs w:val="23"/>
        </w:rPr>
        <w:t>Ofercie FTTH</w:t>
      </w:r>
      <w:r>
        <w:rPr>
          <w:rFonts w:ascii="Calibri Light" w:hAnsi="Calibri Light"/>
          <w:szCs w:val="23"/>
        </w:rPr>
        <w:t>)</w:t>
      </w:r>
      <w:r w:rsidRPr="007A6EF2">
        <w:rPr>
          <w:rFonts w:ascii="Calibri Light" w:hAnsi="Calibri Light"/>
          <w:szCs w:val="23"/>
        </w:rPr>
        <w:t xml:space="preserve">: </w:t>
      </w:r>
    </w:p>
    <w:p w14:paraId="52E33DDD" w14:textId="77777777" w:rsidR="00872F3D" w:rsidRPr="00440574" w:rsidRDefault="00872F3D" w:rsidP="00440574">
      <w:pPr>
        <w:suppressAutoHyphens/>
        <w:spacing w:before="120" w:after="0" w:line="240" w:lineRule="auto"/>
        <w:ind w:firstLine="340"/>
        <w:jc w:val="left"/>
        <w:rPr>
          <w:rFonts w:ascii="Calibri Light" w:hAnsi="Calibri Light"/>
          <w:szCs w:val="23"/>
        </w:rPr>
      </w:pPr>
      <w:r w:rsidRPr="00440574">
        <w:rPr>
          <w:rFonts w:ascii="Calibri Light" w:hAnsi="Calibri Light"/>
          <w:szCs w:val="23"/>
        </w:rPr>
        <w:t>Usługi BSA z uwzględnieniem oferowanych poziomów dostępu:</w:t>
      </w:r>
    </w:p>
    <w:p w14:paraId="72C92278" w14:textId="77777777" w:rsidR="00872F3D" w:rsidRDefault="00872F3D" w:rsidP="00544480">
      <w:pPr>
        <w:pStyle w:val="Akapitzlist"/>
        <w:numPr>
          <w:ilvl w:val="2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7A6EF2">
        <w:rPr>
          <w:rFonts w:ascii="Calibri Light" w:hAnsi="Calibri Light"/>
          <w:szCs w:val="23"/>
        </w:rPr>
        <w:t xml:space="preserve">Ethernet, </w:t>
      </w:r>
    </w:p>
    <w:p w14:paraId="293C57F8" w14:textId="77777777" w:rsidR="00872F3D" w:rsidRDefault="00872F3D" w:rsidP="00544480">
      <w:pPr>
        <w:pStyle w:val="Akapitzlist"/>
        <w:numPr>
          <w:ilvl w:val="2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IP Niezarządzany</w:t>
      </w:r>
      <w:r w:rsidR="00B47D33">
        <w:rPr>
          <w:rFonts w:ascii="Calibri Light" w:hAnsi="Calibri Light"/>
          <w:szCs w:val="23"/>
        </w:rPr>
        <w:t>.</w:t>
      </w:r>
    </w:p>
    <w:p w14:paraId="0B07A109" w14:textId="77777777" w:rsidR="00872F3D" w:rsidRPr="007A6EF2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7A6EF2">
        <w:rPr>
          <w:rFonts w:ascii="Calibri Light" w:hAnsi="Calibri Light"/>
          <w:szCs w:val="23"/>
        </w:rPr>
        <w:t xml:space="preserve">Przy użyciu modelu będą wykonywane Testy </w:t>
      </w:r>
      <w:r w:rsidR="00C269C7">
        <w:rPr>
          <w:rFonts w:ascii="Calibri Light" w:hAnsi="Calibri Light"/>
          <w:szCs w:val="23"/>
        </w:rPr>
        <w:t>ERT</w:t>
      </w:r>
      <w:r w:rsidR="00C269C7" w:rsidRPr="007A6EF2">
        <w:rPr>
          <w:rFonts w:ascii="Calibri Light" w:hAnsi="Calibri Light"/>
          <w:szCs w:val="23"/>
        </w:rPr>
        <w:t xml:space="preserve"> </w:t>
      </w:r>
      <w:r w:rsidRPr="007A6EF2">
        <w:rPr>
          <w:rFonts w:ascii="Calibri Light" w:hAnsi="Calibri Light"/>
          <w:szCs w:val="23"/>
        </w:rPr>
        <w:t xml:space="preserve">zarówno dla detalicznych usług </w:t>
      </w:r>
      <w:r>
        <w:rPr>
          <w:rFonts w:ascii="Calibri Light" w:hAnsi="Calibri Light"/>
          <w:szCs w:val="23"/>
        </w:rPr>
        <w:t>szerokopasmowych</w:t>
      </w:r>
      <w:r w:rsidRPr="007A6EF2">
        <w:rPr>
          <w:rFonts w:ascii="Calibri Light" w:hAnsi="Calibri Light"/>
          <w:szCs w:val="23"/>
        </w:rPr>
        <w:t xml:space="preserve"> sprzedawanych pojedynczo</w:t>
      </w:r>
      <w:r w:rsidR="00474643">
        <w:rPr>
          <w:rFonts w:ascii="Calibri Light" w:hAnsi="Calibri Light"/>
          <w:szCs w:val="23"/>
        </w:rPr>
        <w:t xml:space="preserve"> (single play)</w:t>
      </w:r>
      <w:r w:rsidRPr="007A6EF2">
        <w:rPr>
          <w:rFonts w:ascii="Calibri Light" w:hAnsi="Calibri Light"/>
          <w:szCs w:val="23"/>
        </w:rPr>
        <w:t>,</w:t>
      </w:r>
      <w:r w:rsidR="00474643">
        <w:rPr>
          <w:rFonts w:ascii="Calibri Light" w:hAnsi="Calibri Light"/>
          <w:szCs w:val="23"/>
        </w:rPr>
        <w:t xml:space="preserve"> </w:t>
      </w:r>
      <w:r w:rsidRPr="007A6EF2">
        <w:rPr>
          <w:rFonts w:ascii="Calibri Light" w:hAnsi="Calibri Light"/>
          <w:szCs w:val="23"/>
        </w:rPr>
        <w:t>jak i dla pakietów usług detalicznych.</w:t>
      </w:r>
    </w:p>
    <w:p w14:paraId="3EB984E0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Celem arkusza Opis jest </w:t>
      </w:r>
      <w:r w:rsidR="0069161F">
        <w:rPr>
          <w:rFonts w:ascii="Calibri Light" w:hAnsi="Calibri Light"/>
          <w:szCs w:val="23"/>
        </w:rPr>
        <w:t>zapoznanie</w:t>
      </w:r>
      <w:r w:rsidR="0069161F" w:rsidRPr="00D6657E">
        <w:rPr>
          <w:rFonts w:ascii="Calibri Light" w:hAnsi="Calibri Light"/>
          <w:szCs w:val="23"/>
        </w:rPr>
        <w:t xml:space="preserve"> </w:t>
      </w:r>
      <w:r w:rsidRPr="00D6657E">
        <w:rPr>
          <w:rFonts w:ascii="Calibri Light" w:hAnsi="Calibri Light"/>
          <w:szCs w:val="23"/>
        </w:rPr>
        <w:t xml:space="preserve">użytkownika </w:t>
      </w:r>
      <w:r w:rsidR="0069161F">
        <w:rPr>
          <w:rFonts w:ascii="Calibri Light" w:hAnsi="Calibri Light"/>
          <w:szCs w:val="23"/>
        </w:rPr>
        <w:t>z</w:t>
      </w:r>
      <w:r w:rsidRPr="00D6657E">
        <w:rPr>
          <w:rFonts w:ascii="Calibri Light" w:hAnsi="Calibri Light"/>
          <w:szCs w:val="23"/>
        </w:rPr>
        <w:t xml:space="preserve"> narzędzi</w:t>
      </w:r>
      <w:r w:rsidR="0069161F">
        <w:rPr>
          <w:rFonts w:ascii="Calibri Light" w:hAnsi="Calibri Light"/>
          <w:szCs w:val="23"/>
        </w:rPr>
        <w:t>em</w:t>
      </w:r>
      <w:r w:rsidRPr="00D6657E">
        <w:rPr>
          <w:rFonts w:ascii="Calibri Light" w:hAnsi="Calibri Light"/>
          <w:szCs w:val="23"/>
        </w:rPr>
        <w:t>. W tej części opisane są ogólne założenia, zastosowane oznaczenia pól w modelu, opis poszczególnych arkuszy oraz wykaz skrótów stosowanych w modelu.</w:t>
      </w:r>
    </w:p>
    <w:p w14:paraId="6E2B5E76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Opłaty detaliczne zawiera </w:t>
      </w:r>
      <w:r w:rsidR="00237E3C">
        <w:rPr>
          <w:rFonts w:ascii="Calibri Light" w:hAnsi="Calibri Light"/>
          <w:szCs w:val="23"/>
        </w:rPr>
        <w:t>elementy</w:t>
      </w:r>
      <w:r w:rsidRPr="00D6657E">
        <w:rPr>
          <w:rFonts w:ascii="Calibri Light" w:hAnsi="Calibri Light"/>
          <w:szCs w:val="23"/>
        </w:rPr>
        <w:t xml:space="preserve"> ceny usługi detalicznej świadczonej przez </w:t>
      </w:r>
      <w:r w:rsidR="00237E3C">
        <w:rPr>
          <w:rFonts w:ascii="Calibri Light" w:hAnsi="Calibri Light"/>
          <w:szCs w:val="23"/>
        </w:rPr>
        <w:t>OPL</w:t>
      </w:r>
      <w:r w:rsidRPr="00D6657E">
        <w:rPr>
          <w:rFonts w:ascii="Calibri Light" w:hAnsi="Calibri Light"/>
          <w:szCs w:val="23"/>
        </w:rPr>
        <w:t xml:space="preserve">, </w:t>
      </w:r>
      <w:r w:rsidR="00B23E62">
        <w:rPr>
          <w:rFonts w:ascii="Calibri Light" w:hAnsi="Calibri Light"/>
          <w:szCs w:val="23"/>
        </w:rPr>
        <w:br/>
      </w:r>
      <w:r w:rsidR="00720DB7">
        <w:rPr>
          <w:rFonts w:ascii="Calibri Light" w:hAnsi="Calibri Light"/>
          <w:szCs w:val="23"/>
        </w:rPr>
        <w:t>do której OA</w:t>
      </w:r>
      <w:r w:rsidRPr="00D6657E">
        <w:rPr>
          <w:rFonts w:ascii="Calibri Light" w:hAnsi="Calibri Light"/>
          <w:szCs w:val="23"/>
        </w:rPr>
        <w:t xml:space="preserve"> świadczą usługi konkurencyjne na bazie </w:t>
      </w:r>
      <w:r w:rsidR="00FE20F0" w:rsidRPr="00D6657E">
        <w:rPr>
          <w:rFonts w:ascii="Calibri Light" w:hAnsi="Calibri Light"/>
          <w:szCs w:val="23"/>
        </w:rPr>
        <w:t>U</w:t>
      </w:r>
      <w:r w:rsidR="002A6896" w:rsidRPr="00D6657E">
        <w:rPr>
          <w:rFonts w:ascii="Calibri Light" w:hAnsi="Calibri Light"/>
          <w:szCs w:val="23"/>
        </w:rPr>
        <w:t>sług</w:t>
      </w:r>
      <w:r w:rsidRPr="00D6657E">
        <w:rPr>
          <w:rFonts w:ascii="Calibri Light" w:hAnsi="Calibri Light"/>
          <w:szCs w:val="23"/>
        </w:rPr>
        <w:t xml:space="preserve"> hurtow</w:t>
      </w:r>
      <w:r w:rsidR="00FE20F0" w:rsidRPr="00D6657E">
        <w:rPr>
          <w:rFonts w:ascii="Calibri Light" w:hAnsi="Calibri Light"/>
          <w:szCs w:val="23"/>
        </w:rPr>
        <w:t>ych</w:t>
      </w:r>
      <w:r w:rsidRPr="00D6657E">
        <w:rPr>
          <w:rFonts w:ascii="Calibri Light" w:hAnsi="Calibri Light"/>
          <w:szCs w:val="23"/>
        </w:rPr>
        <w:t>.</w:t>
      </w:r>
    </w:p>
    <w:p w14:paraId="10D3D3F3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Opłaty hurtowe zawiera wyliczenie kosztów usług hurtowych świadczonych przez </w:t>
      </w:r>
      <w:r w:rsidR="00237E3C">
        <w:rPr>
          <w:rFonts w:ascii="Calibri Light" w:hAnsi="Calibri Light"/>
          <w:szCs w:val="23"/>
        </w:rPr>
        <w:t>OPL</w:t>
      </w:r>
      <w:r w:rsidRPr="00D6657E">
        <w:rPr>
          <w:rFonts w:ascii="Calibri Light" w:hAnsi="Calibri Light"/>
          <w:szCs w:val="23"/>
        </w:rPr>
        <w:t>, które musi ponieść O</w:t>
      </w:r>
      <w:r w:rsidR="00720DB7">
        <w:rPr>
          <w:rFonts w:ascii="Calibri Light" w:hAnsi="Calibri Light"/>
          <w:szCs w:val="23"/>
        </w:rPr>
        <w:t>A</w:t>
      </w:r>
      <w:r w:rsidRPr="00D6657E">
        <w:rPr>
          <w:rFonts w:ascii="Calibri Light" w:hAnsi="Calibri Light"/>
          <w:szCs w:val="23"/>
        </w:rPr>
        <w:t xml:space="preserve"> w celu świadczenia szerokopasmowej usługi detalicznej.</w:t>
      </w:r>
    </w:p>
    <w:p w14:paraId="2976C727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Koszty sieciowe zawiera wyliczenie kosztów elementów sieci, które musi ponieść </w:t>
      </w:r>
      <w:r w:rsidR="00AC7A3C" w:rsidRPr="00D6657E">
        <w:rPr>
          <w:rFonts w:ascii="Calibri Light" w:hAnsi="Calibri Light"/>
          <w:szCs w:val="23"/>
        </w:rPr>
        <w:t>O</w:t>
      </w:r>
      <w:r w:rsidR="00720DB7">
        <w:rPr>
          <w:rFonts w:ascii="Calibri Light" w:hAnsi="Calibri Light"/>
          <w:szCs w:val="23"/>
        </w:rPr>
        <w:t>A</w:t>
      </w:r>
      <w:r w:rsidR="003405FB" w:rsidRPr="00D6657E">
        <w:rPr>
          <w:rFonts w:ascii="Calibri Light" w:hAnsi="Calibri Light"/>
          <w:szCs w:val="23"/>
        </w:rPr>
        <w:t> w </w:t>
      </w:r>
      <w:r w:rsidRPr="00D6657E">
        <w:rPr>
          <w:rFonts w:ascii="Calibri Light" w:hAnsi="Calibri Light"/>
          <w:szCs w:val="23"/>
        </w:rPr>
        <w:t xml:space="preserve">celu świadczenia szerokopasmowej usługi detalicznej na bazie </w:t>
      </w:r>
      <w:r w:rsidR="00FE20F0" w:rsidRPr="00D6657E">
        <w:rPr>
          <w:rFonts w:ascii="Calibri Light" w:hAnsi="Calibri Light"/>
          <w:szCs w:val="23"/>
        </w:rPr>
        <w:t xml:space="preserve">Usług </w:t>
      </w:r>
      <w:r w:rsidRPr="00D6657E">
        <w:rPr>
          <w:rFonts w:ascii="Calibri Light" w:hAnsi="Calibri Light"/>
          <w:szCs w:val="23"/>
        </w:rPr>
        <w:t>hurtow</w:t>
      </w:r>
      <w:r w:rsidR="00FE20F0" w:rsidRPr="00D6657E">
        <w:rPr>
          <w:rFonts w:ascii="Calibri Light" w:hAnsi="Calibri Light"/>
          <w:szCs w:val="23"/>
        </w:rPr>
        <w:t>ych</w:t>
      </w:r>
      <w:r w:rsidRPr="00D6657E">
        <w:rPr>
          <w:rFonts w:ascii="Calibri Light" w:hAnsi="Calibri Light"/>
          <w:szCs w:val="23"/>
        </w:rPr>
        <w:t>.</w:t>
      </w:r>
    </w:p>
    <w:p w14:paraId="4CC2EDA5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Koszty detaliczne zawiera wyliczenie kosztów procesów detalicznej obsługi klienta, które musi ponieść </w:t>
      </w:r>
      <w:r w:rsidR="00720DB7">
        <w:rPr>
          <w:rFonts w:ascii="Calibri Light" w:hAnsi="Calibri Light"/>
          <w:szCs w:val="23"/>
        </w:rPr>
        <w:t>OA</w:t>
      </w:r>
      <w:r w:rsidRPr="00D6657E">
        <w:rPr>
          <w:rFonts w:ascii="Calibri Light" w:hAnsi="Calibri Light"/>
          <w:szCs w:val="23"/>
        </w:rPr>
        <w:t xml:space="preserve"> w celu świadczenia szerokopasmowej usługi detalicznej na bazie </w:t>
      </w:r>
      <w:r w:rsidR="00FE20F0" w:rsidRPr="00D6657E">
        <w:rPr>
          <w:rFonts w:ascii="Calibri Light" w:hAnsi="Calibri Light"/>
          <w:szCs w:val="23"/>
        </w:rPr>
        <w:t xml:space="preserve">Usług </w:t>
      </w:r>
      <w:r w:rsidRPr="00D6657E">
        <w:rPr>
          <w:rFonts w:ascii="Calibri Light" w:hAnsi="Calibri Light"/>
          <w:szCs w:val="23"/>
        </w:rPr>
        <w:t>hurtow</w:t>
      </w:r>
      <w:r w:rsidR="00FE20F0" w:rsidRPr="00D6657E">
        <w:rPr>
          <w:rFonts w:ascii="Calibri Light" w:hAnsi="Calibri Light"/>
          <w:szCs w:val="23"/>
        </w:rPr>
        <w:t>ych</w:t>
      </w:r>
      <w:r w:rsidRPr="00D6657E">
        <w:rPr>
          <w:rFonts w:ascii="Calibri Light" w:hAnsi="Calibri Light"/>
          <w:szCs w:val="23"/>
        </w:rPr>
        <w:t>.</w:t>
      </w:r>
    </w:p>
    <w:p w14:paraId="6D23C1E8" w14:textId="77777777" w:rsidR="00872F3D" w:rsidRPr="00D6657E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Marża zawiera wyliczenie poziomu rozsądnej marży, którą musi uzyskiwać </w:t>
      </w:r>
      <w:r w:rsidR="00720DB7">
        <w:rPr>
          <w:rFonts w:ascii="Calibri Light" w:hAnsi="Calibri Light"/>
          <w:szCs w:val="23"/>
        </w:rPr>
        <w:t>OA</w:t>
      </w:r>
      <w:r w:rsidR="003405FB" w:rsidRPr="00D6657E">
        <w:rPr>
          <w:rFonts w:ascii="Calibri Light" w:hAnsi="Calibri Light"/>
          <w:szCs w:val="23"/>
        </w:rPr>
        <w:t>, tak by </w:t>
      </w:r>
      <w:r w:rsidRPr="00D6657E">
        <w:rPr>
          <w:rFonts w:ascii="Calibri Light" w:hAnsi="Calibri Light"/>
          <w:szCs w:val="23"/>
        </w:rPr>
        <w:t xml:space="preserve">opłacalne było dla niego świadczenie usługi opartej na </w:t>
      </w:r>
      <w:r w:rsidR="00FE20F0" w:rsidRPr="00D6657E">
        <w:rPr>
          <w:rFonts w:ascii="Calibri Light" w:hAnsi="Calibri Light"/>
          <w:szCs w:val="23"/>
        </w:rPr>
        <w:t>U</w:t>
      </w:r>
      <w:r w:rsidR="002A6896" w:rsidRPr="00D6657E">
        <w:rPr>
          <w:rFonts w:ascii="Calibri Light" w:hAnsi="Calibri Light"/>
          <w:szCs w:val="23"/>
        </w:rPr>
        <w:t>słudze</w:t>
      </w:r>
      <w:r w:rsidR="004F53F5" w:rsidRPr="00D6657E">
        <w:rPr>
          <w:rFonts w:ascii="Calibri Light" w:hAnsi="Calibri Light"/>
          <w:szCs w:val="23"/>
        </w:rPr>
        <w:t xml:space="preserve"> </w:t>
      </w:r>
      <w:r w:rsidRPr="00D6657E">
        <w:rPr>
          <w:rFonts w:ascii="Calibri Light" w:hAnsi="Calibri Light"/>
          <w:szCs w:val="23"/>
        </w:rPr>
        <w:t>hurtowej.</w:t>
      </w:r>
    </w:p>
    <w:p w14:paraId="0FD2E1DD" w14:textId="77777777" w:rsidR="00872F3D" w:rsidRDefault="00872F3D" w:rsidP="00544480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D6657E">
        <w:rPr>
          <w:rFonts w:ascii="Calibri Light" w:hAnsi="Calibri Light"/>
          <w:szCs w:val="23"/>
        </w:rPr>
        <w:t xml:space="preserve">Arkusz Wynik zawiera </w:t>
      </w:r>
      <w:r w:rsidR="00237E3C">
        <w:rPr>
          <w:rFonts w:ascii="Calibri Light" w:hAnsi="Calibri Light"/>
          <w:szCs w:val="23"/>
        </w:rPr>
        <w:t>wyliczenie</w:t>
      </w:r>
      <w:r w:rsidR="00237E3C" w:rsidRPr="00D6657E">
        <w:rPr>
          <w:rFonts w:ascii="Calibri Light" w:hAnsi="Calibri Light"/>
          <w:szCs w:val="23"/>
        </w:rPr>
        <w:t xml:space="preserve"> </w:t>
      </w:r>
      <w:r w:rsidRPr="00D6657E">
        <w:rPr>
          <w:rFonts w:ascii="Calibri Light" w:hAnsi="Calibri Light"/>
          <w:szCs w:val="23"/>
        </w:rPr>
        <w:t xml:space="preserve">kosztów </w:t>
      </w:r>
      <w:r w:rsidR="00237E3C">
        <w:rPr>
          <w:rFonts w:ascii="Calibri Light" w:hAnsi="Calibri Light"/>
          <w:szCs w:val="23"/>
        </w:rPr>
        <w:t>zestawionych</w:t>
      </w:r>
      <w:r w:rsidR="00237E3C" w:rsidRPr="00D6657E">
        <w:rPr>
          <w:rFonts w:ascii="Calibri Light" w:hAnsi="Calibri Light"/>
          <w:szCs w:val="23"/>
        </w:rPr>
        <w:t xml:space="preserve"> </w:t>
      </w:r>
      <w:r w:rsidRPr="00D6657E">
        <w:rPr>
          <w:rFonts w:ascii="Calibri Light" w:hAnsi="Calibri Light"/>
          <w:szCs w:val="23"/>
        </w:rPr>
        <w:t>w pozostałych</w:t>
      </w:r>
      <w:r w:rsidRPr="007B26B8">
        <w:rPr>
          <w:rFonts w:ascii="Calibri Light" w:hAnsi="Calibri Light"/>
          <w:szCs w:val="23"/>
        </w:rPr>
        <w:t xml:space="preserve"> arkuszach i wyliczenie wskazujące, czy </w:t>
      </w:r>
      <w:r w:rsidR="00237E3C">
        <w:rPr>
          <w:rFonts w:ascii="Calibri Light" w:hAnsi="Calibri Light"/>
          <w:szCs w:val="23"/>
        </w:rPr>
        <w:t>wynik Testu ERT jest pozytywny czy negatywny</w:t>
      </w:r>
      <w:r w:rsidRPr="007B26B8">
        <w:rPr>
          <w:rFonts w:ascii="Calibri Light" w:hAnsi="Calibri Light"/>
          <w:szCs w:val="23"/>
        </w:rPr>
        <w:t>.</w:t>
      </w:r>
    </w:p>
    <w:p w14:paraId="282F8313" w14:textId="77777777" w:rsidR="00C12754" w:rsidRPr="00040E01" w:rsidRDefault="005839C1" w:rsidP="0000034F">
      <w:pPr>
        <w:pStyle w:val="Akapitzlist"/>
        <w:numPr>
          <w:ilvl w:val="0"/>
          <w:numId w:val="15"/>
        </w:numPr>
        <w:suppressAutoHyphens/>
        <w:spacing w:before="120" w:after="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 w:rsidRPr="00A0348F">
        <w:rPr>
          <w:rFonts w:ascii="Calibri Light" w:hAnsi="Calibri Light"/>
          <w:szCs w:val="23"/>
        </w:rPr>
        <w:lastRenderedPageBreak/>
        <w:t>W</w:t>
      </w:r>
      <w:r w:rsidR="004F53F5" w:rsidRPr="00A0348F">
        <w:rPr>
          <w:rFonts w:ascii="Calibri Light" w:hAnsi="Calibri Light"/>
          <w:szCs w:val="23"/>
        </w:rPr>
        <w:t xml:space="preserve"> pkt 3-8 </w:t>
      </w:r>
      <w:r w:rsidRPr="00A0348F">
        <w:rPr>
          <w:rFonts w:ascii="Calibri Light" w:hAnsi="Calibri Light"/>
          <w:szCs w:val="23"/>
        </w:rPr>
        <w:t xml:space="preserve">poniżej </w:t>
      </w:r>
      <w:r w:rsidR="00872F3D" w:rsidRPr="00A0348F">
        <w:rPr>
          <w:rFonts w:ascii="Calibri Light" w:hAnsi="Calibri Light"/>
          <w:szCs w:val="23"/>
        </w:rPr>
        <w:t>zaprezentowano</w:t>
      </w:r>
      <w:r w:rsidR="00872F3D">
        <w:rPr>
          <w:rFonts w:ascii="Calibri Light" w:hAnsi="Calibri Light"/>
          <w:szCs w:val="23"/>
        </w:rPr>
        <w:t xml:space="preserve"> zasady przeprowadzani</w:t>
      </w:r>
      <w:r w:rsidR="003405FB">
        <w:rPr>
          <w:rFonts w:ascii="Calibri Light" w:hAnsi="Calibri Light"/>
          <w:szCs w:val="23"/>
        </w:rPr>
        <w:t>a kalkulacji w ramach każdego z </w:t>
      </w:r>
      <w:r w:rsidR="00872F3D">
        <w:rPr>
          <w:rFonts w:ascii="Calibri Light" w:hAnsi="Calibri Light"/>
          <w:szCs w:val="23"/>
        </w:rPr>
        <w:t>arkuszy.</w:t>
      </w:r>
    </w:p>
    <w:p w14:paraId="41C434B0" w14:textId="77777777" w:rsidR="0000034F" w:rsidRDefault="00C12754" w:rsidP="00792964">
      <w:pPr>
        <w:pStyle w:val="Nagwek2"/>
      </w:pPr>
      <w:bookmarkStart w:id="26" w:name="_Toc75849043"/>
      <w:r w:rsidRPr="00C12754">
        <w:t xml:space="preserve">Zasady przeprowadzania kalkulacji w ramach Testu </w:t>
      </w:r>
      <w:r w:rsidR="00507B1B">
        <w:t>ERT</w:t>
      </w:r>
      <w:bookmarkEnd w:id="26"/>
    </w:p>
    <w:p w14:paraId="1F26140A" w14:textId="77777777" w:rsidR="00507B1B" w:rsidRPr="00434603" w:rsidRDefault="00507B1B" w:rsidP="002064A6">
      <w:pPr>
        <w:pStyle w:val="Akapitzlist"/>
        <w:numPr>
          <w:ilvl w:val="6"/>
          <w:numId w:val="15"/>
        </w:numPr>
        <w:spacing w:before="120" w:after="0" w:line="300" w:lineRule="auto"/>
        <w:ind w:left="709" w:hanging="425"/>
      </w:pPr>
      <w:bookmarkStart w:id="27" w:name="_Toc29471747"/>
      <w:bookmarkStart w:id="28" w:name="_Toc29472399"/>
      <w:r w:rsidRPr="00F24950">
        <w:t>Podstawowa zależność sprawdzana jest przez model:</w:t>
      </w:r>
      <w:bookmarkEnd w:id="27"/>
      <w:bookmarkEnd w:id="28"/>
    </w:p>
    <w:p w14:paraId="12DB7DC8" w14:textId="77777777" w:rsidR="00507B1B" w:rsidRPr="00F24950" w:rsidRDefault="00507B1B" w:rsidP="00507B1B">
      <w:pPr>
        <w:ind w:firstLine="720"/>
      </w:pPr>
    </w:p>
    <w:p w14:paraId="09751356" w14:textId="77777777" w:rsidR="00507B1B" w:rsidRPr="00F24950" w:rsidRDefault="00507B1B" w:rsidP="00534E98">
      <w:pPr>
        <w:pStyle w:val="Akapitzlist"/>
        <w:ind w:left="360"/>
        <w:jc w:val="center"/>
        <w:rPr>
          <w:lang w:val="en-US"/>
        </w:rPr>
      </w:pPr>
      <w:r w:rsidRPr="00F24950">
        <w:rPr>
          <w:lang w:val="en-US"/>
        </w:rPr>
        <w:t>P</w:t>
      </w:r>
      <w:r w:rsidRPr="00F24950">
        <w:rPr>
          <w:vertAlign w:val="subscript"/>
          <w:lang w:val="en-US"/>
        </w:rPr>
        <w:t>D</w:t>
      </w:r>
      <w:r w:rsidRPr="00F24950">
        <w:rPr>
          <w:lang w:val="en-US"/>
        </w:rPr>
        <w:t>-(C</w:t>
      </w:r>
      <w:r w:rsidRPr="00F24950">
        <w:rPr>
          <w:vertAlign w:val="subscript"/>
          <w:lang w:val="en-US"/>
        </w:rPr>
        <w:t>H</w:t>
      </w:r>
      <w:r w:rsidRPr="00F24950">
        <w:rPr>
          <w:lang w:val="en-US"/>
        </w:rPr>
        <w:t xml:space="preserve"> + C</w:t>
      </w:r>
      <w:r w:rsidRPr="00F24950">
        <w:rPr>
          <w:vertAlign w:val="subscript"/>
          <w:lang w:val="en-US"/>
        </w:rPr>
        <w:t xml:space="preserve">P </w:t>
      </w:r>
      <w:r w:rsidRPr="00F24950">
        <w:rPr>
          <w:lang w:val="en-US"/>
        </w:rPr>
        <w:t>+ C</w:t>
      </w:r>
      <w:r w:rsidRPr="00F24950">
        <w:rPr>
          <w:vertAlign w:val="subscript"/>
          <w:lang w:val="en-US"/>
        </w:rPr>
        <w:t>D</w:t>
      </w:r>
      <w:r w:rsidRPr="00F24950">
        <w:rPr>
          <w:lang w:val="en-US"/>
        </w:rPr>
        <w:t xml:space="preserve"> + RM)≥0</w:t>
      </w:r>
    </w:p>
    <w:p w14:paraId="6B738E20" w14:textId="77777777" w:rsidR="00507B1B" w:rsidRPr="00F24950" w:rsidRDefault="00507B1B" w:rsidP="00507B1B">
      <w:pPr>
        <w:rPr>
          <w:lang w:val="en-US"/>
        </w:rPr>
      </w:pPr>
    </w:p>
    <w:p w14:paraId="4B205131" w14:textId="77777777" w:rsidR="00507B1B" w:rsidRPr="00434603" w:rsidRDefault="00507B1B" w:rsidP="00C47A9E">
      <w:pPr>
        <w:pStyle w:val="Akapitzlist"/>
        <w:ind w:left="360"/>
        <w:jc w:val="left"/>
      </w:pPr>
      <w:bookmarkStart w:id="29" w:name="_Toc29471748"/>
      <w:bookmarkStart w:id="30" w:name="_Toc29472400"/>
      <w:r w:rsidRPr="00F24950">
        <w:t>gdzie:</w:t>
      </w:r>
      <w:bookmarkEnd w:id="29"/>
      <w:bookmarkEnd w:id="30"/>
    </w:p>
    <w:p w14:paraId="31D7B079" w14:textId="77777777" w:rsidR="00507B1B" w:rsidRPr="00434603" w:rsidRDefault="00507B1B" w:rsidP="00C47A9E">
      <w:pPr>
        <w:pStyle w:val="Akapitzlist"/>
        <w:ind w:left="360"/>
        <w:jc w:val="left"/>
      </w:pPr>
      <w:bookmarkStart w:id="31" w:name="_Toc29471749"/>
      <w:bookmarkStart w:id="32" w:name="_Toc29472401"/>
      <w:r w:rsidRPr="00F24950">
        <w:t>P</w:t>
      </w:r>
      <w:r w:rsidRPr="00687A13">
        <w:rPr>
          <w:vertAlign w:val="subscript"/>
        </w:rPr>
        <w:t>D</w:t>
      </w:r>
      <w:r w:rsidRPr="00F24950">
        <w:t xml:space="preserve"> – suma opłat za usługę detaliczną świadczoną przez OPL w przeliczeniu na okres rozliczeniowy</w:t>
      </w:r>
      <w:bookmarkEnd w:id="31"/>
      <w:bookmarkEnd w:id="32"/>
      <w:r w:rsidRPr="00F24950">
        <w:t>,</w:t>
      </w:r>
    </w:p>
    <w:p w14:paraId="3A99EC79" w14:textId="7380EDC3" w:rsidR="00507B1B" w:rsidRPr="00434603" w:rsidRDefault="00507B1B" w:rsidP="00C47A9E">
      <w:pPr>
        <w:pStyle w:val="Akapitzlist"/>
        <w:ind w:left="360"/>
        <w:jc w:val="left"/>
      </w:pPr>
      <w:bookmarkStart w:id="33" w:name="_Toc29471750"/>
      <w:bookmarkStart w:id="34" w:name="_Toc29472402"/>
      <w:r w:rsidRPr="00F24950">
        <w:t>C</w:t>
      </w:r>
      <w:r w:rsidRPr="00687A13">
        <w:rPr>
          <w:vertAlign w:val="subscript"/>
        </w:rPr>
        <w:t>H</w:t>
      </w:r>
      <w:r w:rsidRPr="00F24950">
        <w:t xml:space="preserve"> – suma kosztów, jakie ponosi </w:t>
      </w:r>
      <w:r>
        <w:t>PT</w:t>
      </w:r>
      <w:r w:rsidRPr="00F24950">
        <w:t xml:space="preserve"> w związku z korzystaniem z usług hurtowych, </w:t>
      </w:r>
      <w:r w:rsidR="00FF25FB">
        <w:br/>
      </w:r>
      <w:r w:rsidRPr="00F24950">
        <w:t>w przeliczeniu na okres rozliczeniowy</w:t>
      </w:r>
      <w:bookmarkEnd w:id="33"/>
      <w:bookmarkEnd w:id="34"/>
      <w:r w:rsidRPr="00F24950">
        <w:t>,</w:t>
      </w:r>
    </w:p>
    <w:p w14:paraId="3E11A19E" w14:textId="77777777" w:rsidR="00507B1B" w:rsidRPr="00434603" w:rsidRDefault="00507B1B" w:rsidP="00C47A9E">
      <w:pPr>
        <w:pStyle w:val="Akapitzlist"/>
        <w:ind w:left="360"/>
        <w:jc w:val="left"/>
      </w:pPr>
      <w:bookmarkStart w:id="35" w:name="_Toc29471751"/>
      <w:bookmarkStart w:id="36" w:name="_Toc29472403"/>
      <w:r w:rsidRPr="00F24950">
        <w:t>C</w:t>
      </w:r>
      <w:r w:rsidRPr="00687A13">
        <w:rPr>
          <w:vertAlign w:val="subscript"/>
        </w:rPr>
        <w:softHyphen/>
        <w:t>P</w:t>
      </w:r>
      <w:r w:rsidRPr="00F24950">
        <w:t xml:space="preserve"> – suma kosztów związanych z dostarczeniem własnej infrastruktury przez </w:t>
      </w:r>
      <w:r>
        <w:t>PT</w:t>
      </w:r>
      <w:r w:rsidRPr="00F24950">
        <w:t xml:space="preserve">, w tym koszty, jakie ponosi </w:t>
      </w:r>
      <w:r>
        <w:t>PT</w:t>
      </w:r>
      <w:r w:rsidRPr="00F24950">
        <w:t xml:space="preserve"> w celu skorzystania z Usług hurtowych, w przeliczeniu na okres rozliczeniow</w:t>
      </w:r>
      <w:bookmarkEnd w:id="35"/>
      <w:bookmarkEnd w:id="36"/>
      <w:r w:rsidRPr="00F24950">
        <w:t>y,</w:t>
      </w:r>
    </w:p>
    <w:p w14:paraId="45720510" w14:textId="77777777" w:rsidR="00507B1B" w:rsidRPr="00434603" w:rsidRDefault="00507B1B" w:rsidP="00C47A9E">
      <w:pPr>
        <w:pStyle w:val="Akapitzlist"/>
        <w:ind w:left="360"/>
        <w:jc w:val="left"/>
      </w:pPr>
      <w:bookmarkStart w:id="37" w:name="_Toc29471752"/>
      <w:bookmarkStart w:id="38" w:name="_Toc29472404"/>
      <w:r w:rsidRPr="00F24950">
        <w:t>C</w:t>
      </w:r>
      <w:r w:rsidRPr="00687A13">
        <w:rPr>
          <w:vertAlign w:val="subscript"/>
        </w:rPr>
        <w:t>D</w:t>
      </w:r>
      <w:r w:rsidRPr="00F24950">
        <w:t xml:space="preserve"> – suma kosztów, jakie ponosi </w:t>
      </w:r>
      <w:r>
        <w:t>PT</w:t>
      </w:r>
      <w:r w:rsidRPr="00F24950">
        <w:t xml:space="preserve"> w celu świadczenia usługi detalicznej użytkownikom końcowym (koszty detaliczne), w przeliczeniu na okres rozliczeniowy</w:t>
      </w:r>
      <w:bookmarkEnd w:id="37"/>
      <w:bookmarkEnd w:id="38"/>
      <w:r w:rsidRPr="00F24950">
        <w:t>,</w:t>
      </w:r>
    </w:p>
    <w:p w14:paraId="42390869" w14:textId="77777777" w:rsidR="00507B1B" w:rsidRPr="00434603" w:rsidRDefault="00507B1B" w:rsidP="00C47A9E">
      <w:pPr>
        <w:pStyle w:val="Akapitzlist"/>
        <w:ind w:left="360"/>
        <w:jc w:val="left"/>
      </w:pPr>
      <w:bookmarkStart w:id="39" w:name="_Toc29471753"/>
      <w:bookmarkStart w:id="40" w:name="_Toc29472405"/>
      <w:r w:rsidRPr="00F24950">
        <w:t>RM – rozsądna marża w przeliczeniu na okres rozliczeniowy.</w:t>
      </w:r>
      <w:bookmarkEnd w:id="39"/>
      <w:bookmarkEnd w:id="40"/>
    </w:p>
    <w:p w14:paraId="21047691" w14:textId="48CB93BE" w:rsidR="00507B1B" w:rsidRPr="00434603" w:rsidRDefault="00507B1B" w:rsidP="00906875">
      <w:pPr>
        <w:spacing w:before="120" w:after="0" w:line="300" w:lineRule="auto"/>
        <w:ind w:left="340"/>
        <w:jc w:val="left"/>
      </w:pPr>
      <w:bookmarkStart w:id="41" w:name="_Toc29471754"/>
      <w:bookmarkStart w:id="42" w:name="_Toc29472406"/>
      <w:r>
        <w:t xml:space="preserve">2. </w:t>
      </w:r>
      <w:r w:rsidRPr="00F24950">
        <w:t>Dla detalicznych usług wiązanych</w:t>
      </w:r>
      <w:r w:rsidR="00906875">
        <w:t xml:space="preserve"> tj.: internet+</w:t>
      </w:r>
      <w:r w:rsidRPr="00F24950">
        <w:t xml:space="preserve"> </w:t>
      </w:r>
      <w:r w:rsidR="00906875">
        <w:rPr>
          <w:rFonts w:ascii="Calibri Light" w:hAnsi="Calibri Light"/>
          <w:szCs w:val="23"/>
        </w:rPr>
        <w:t>t</w:t>
      </w:r>
      <w:r w:rsidR="00906875" w:rsidRPr="00B74945">
        <w:rPr>
          <w:rFonts w:ascii="Calibri Light" w:hAnsi="Calibri Light"/>
          <w:szCs w:val="23"/>
        </w:rPr>
        <w:t>elewizja</w:t>
      </w:r>
      <w:r w:rsidR="00906875">
        <w:rPr>
          <w:rFonts w:ascii="Calibri Light" w:hAnsi="Calibri Light"/>
          <w:szCs w:val="23"/>
        </w:rPr>
        <w:t>+t</w:t>
      </w:r>
      <w:r w:rsidR="00906875" w:rsidRPr="00B74945">
        <w:rPr>
          <w:rFonts w:ascii="Calibri Light" w:hAnsi="Calibri Light"/>
          <w:szCs w:val="23"/>
        </w:rPr>
        <w:t>elefon stacjonarny</w:t>
      </w:r>
      <w:r w:rsidR="00906875">
        <w:rPr>
          <w:rFonts w:ascii="Calibri Light" w:hAnsi="Calibri Light"/>
          <w:szCs w:val="23"/>
        </w:rPr>
        <w:t>+u</w:t>
      </w:r>
      <w:r w:rsidR="00906875" w:rsidRPr="00B74945">
        <w:rPr>
          <w:rFonts w:ascii="Calibri Light" w:hAnsi="Calibri Light"/>
          <w:szCs w:val="23"/>
        </w:rPr>
        <w:t>sługi mobilne</w:t>
      </w:r>
      <w:r w:rsidR="00906875">
        <w:rPr>
          <w:rFonts w:ascii="Calibri Light" w:hAnsi="Calibri Light"/>
          <w:szCs w:val="23"/>
        </w:rPr>
        <w:t xml:space="preserve">, </w:t>
      </w:r>
      <w:r w:rsidRPr="00F24950">
        <w:t>świadczonych w oparciu o sieć stacjonarną test ERT przeprowa</w:t>
      </w:r>
      <w:r w:rsidR="0003713F">
        <w:t xml:space="preserve">dzany jest dla usługi wiązanej </w:t>
      </w:r>
      <w:r w:rsidRPr="00F24950">
        <w:t>jako całości.</w:t>
      </w:r>
      <w:bookmarkEnd w:id="41"/>
      <w:bookmarkEnd w:id="42"/>
    </w:p>
    <w:p w14:paraId="43456B06" w14:textId="77777777" w:rsidR="00507B1B" w:rsidRPr="00434603" w:rsidRDefault="00507B1B" w:rsidP="00507B1B"/>
    <w:p w14:paraId="5927908E" w14:textId="77777777" w:rsidR="00507B1B" w:rsidRPr="00434603" w:rsidRDefault="00507B1B" w:rsidP="00534E98">
      <w:pPr>
        <w:pStyle w:val="Akapitzlist"/>
        <w:ind w:left="360"/>
        <w:jc w:val="center"/>
      </w:pPr>
      <w:bookmarkStart w:id="43" w:name="_Toc29471755"/>
      <w:bookmarkStart w:id="44" w:name="_Toc29472407"/>
      <w:r w:rsidRPr="00F24950">
        <w:t>P</w:t>
      </w:r>
      <w:r w:rsidRPr="00687A13">
        <w:rPr>
          <w:vertAlign w:val="subscript"/>
        </w:rPr>
        <w:t>DW</w:t>
      </w:r>
      <w:r w:rsidRPr="00F24950">
        <w:t>-(C</w:t>
      </w:r>
      <w:r w:rsidRPr="00CA0E0C">
        <w:rPr>
          <w:vertAlign w:val="subscript"/>
        </w:rPr>
        <w:t>H</w:t>
      </w:r>
      <w:r w:rsidRPr="00F24950">
        <w:t xml:space="preserve"> + C</w:t>
      </w:r>
      <w:r w:rsidRPr="00CA0E0C">
        <w:rPr>
          <w:vertAlign w:val="subscript"/>
        </w:rPr>
        <w:t>P</w:t>
      </w:r>
      <w:r w:rsidRPr="00F24950">
        <w:t xml:space="preserve"> + C</w:t>
      </w:r>
      <w:r w:rsidRPr="00CA0E0C">
        <w:rPr>
          <w:vertAlign w:val="subscript"/>
        </w:rPr>
        <w:t>W</w:t>
      </w:r>
      <w:r w:rsidRPr="00F24950">
        <w:t xml:space="preserve"> + RM)≥0</w:t>
      </w:r>
      <w:bookmarkEnd w:id="43"/>
      <w:bookmarkEnd w:id="44"/>
    </w:p>
    <w:p w14:paraId="5DE18D72" w14:textId="77777777" w:rsidR="00507B1B" w:rsidRPr="00434603" w:rsidRDefault="00507B1B" w:rsidP="00507B1B"/>
    <w:p w14:paraId="30FC43E7" w14:textId="77777777" w:rsidR="00507B1B" w:rsidRPr="00434603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45" w:name="_Toc29471756"/>
      <w:bookmarkStart w:id="46" w:name="_Toc29472408"/>
      <w:r w:rsidRPr="00F24950">
        <w:t>gdzie:</w:t>
      </w:r>
      <w:bookmarkEnd w:id="45"/>
      <w:bookmarkEnd w:id="46"/>
    </w:p>
    <w:p w14:paraId="58C5C790" w14:textId="77777777" w:rsidR="00507B1B" w:rsidRPr="00434603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47" w:name="_Toc29471757"/>
      <w:bookmarkStart w:id="48" w:name="_Toc29472409"/>
      <w:r w:rsidRPr="00F24950">
        <w:t>P</w:t>
      </w:r>
      <w:r w:rsidRPr="00CA0E0C">
        <w:rPr>
          <w:vertAlign w:val="subscript"/>
        </w:rPr>
        <w:t>DW</w:t>
      </w:r>
      <w:r w:rsidRPr="00F24950">
        <w:t xml:space="preserve"> – suma opłat za usługę detaliczną</w:t>
      </w:r>
      <w:r w:rsidR="0059063B">
        <w:t xml:space="preserve"> wiązaną,</w:t>
      </w:r>
      <w:r w:rsidRPr="00F24950">
        <w:t xml:space="preserve"> świadczoną przez OPL w przeliczeniu na okres rozliczeniowy</w:t>
      </w:r>
      <w:bookmarkEnd w:id="47"/>
      <w:bookmarkEnd w:id="48"/>
      <w:r w:rsidRPr="00F24950">
        <w:t>,</w:t>
      </w:r>
    </w:p>
    <w:p w14:paraId="3685C691" w14:textId="02ACADC0" w:rsidR="00507B1B" w:rsidRPr="00434603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49" w:name="_Toc29471758"/>
      <w:bookmarkStart w:id="50" w:name="_Toc29472410"/>
      <w:r w:rsidRPr="00F24950">
        <w:t>C</w:t>
      </w:r>
      <w:r w:rsidRPr="00CA0E0C">
        <w:rPr>
          <w:vertAlign w:val="subscript"/>
        </w:rPr>
        <w:t>H</w:t>
      </w:r>
      <w:r w:rsidRPr="00F24950">
        <w:t xml:space="preserve"> – suma kosztów, jakie ponosi </w:t>
      </w:r>
      <w:r>
        <w:t>PT</w:t>
      </w:r>
      <w:r w:rsidRPr="00F24950">
        <w:t xml:space="preserve"> w związku z ko</w:t>
      </w:r>
      <w:r w:rsidR="008B437E">
        <w:t>rzystaniem z usług hurtowych, w </w:t>
      </w:r>
      <w:r w:rsidRPr="00F24950">
        <w:t>przeliczeniu na okres rozliczeniowy</w:t>
      </w:r>
      <w:bookmarkEnd w:id="49"/>
      <w:bookmarkEnd w:id="50"/>
      <w:r w:rsidRPr="00F24950">
        <w:t>,</w:t>
      </w:r>
    </w:p>
    <w:p w14:paraId="451F67B1" w14:textId="77777777" w:rsidR="00507B1B" w:rsidRPr="00434603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51" w:name="_Toc29471759"/>
      <w:bookmarkStart w:id="52" w:name="_Toc29472411"/>
      <w:r w:rsidRPr="00F24950">
        <w:lastRenderedPageBreak/>
        <w:t>C</w:t>
      </w:r>
      <w:r w:rsidRPr="00F24950">
        <w:softHyphen/>
      </w:r>
      <w:r w:rsidRPr="00CA0E0C">
        <w:rPr>
          <w:vertAlign w:val="subscript"/>
        </w:rPr>
        <w:t>P</w:t>
      </w:r>
      <w:r w:rsidRPr="00F24950">
        <w:t xml:space="preserve"> – suma kosztów związanych z dostarczeniem własnej infrastruktury przez </w:t>
      </w:r>
      <w:r>
        <w:t>PT</w:t>
      </w:r>
      <w:r w:rsidRPr="00F24950">
        <w:t xml:space="preserve">, w tym koszty, jakie ponosi </w:t>
      </w:r>
      <w:r>
        <w:t>PT</w:t>
      </w:r>
      <w:r w:rsidRPr="00F24950">
        <w:t xml:space="preserve"> w celu skorzystania z Usług hurtowych, w przeliczeniu na okres rozliczeniowy</w:t>
      </w:r>
      <w:bookmarkEnd w:id="51"/>
      <w:bookmarkEnd w:id="52"/>
      <w:r w:rsidRPr="00F24950">
        <w:t>,</w:t>
      </w:r>
    </w:p>
    <w:p w14:paraId="60D9C1EC" w14:textId="77777777" w:rsidR="00507B1B" w:rsidRPr="00434603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53" w:name="_Toc29471760"/>
      <w:bookmarkStart w:id="54" w:name="_Toc29472412"/>
      <w:r w:rsidRPr="00F24950">
        <w:t>C</w:t>
      </w:r>
      <w:r w:rsidRPr="00CA0E0C">
        <w:rPr>
          <w:vertAlign w:val="subscript"/>
        </w:rPr>
        <w:t>W</w:t>
      </w:r>
      <w:r w:rsidRPr="00F24950">
        <w:t xml:space="preserve"> – suma kosztów, jakie ponosi </w:t>
      </w:r>
      <w:r>
        <w:t>PT</w:t>
      </w:r>
      <w:r w:rsidRPr="00F24950">
        <w:t xml:space="preserve"> w celu świadczenia wiązanej usługi detalicznej użytkownikom końcowym (koszty detaliczne), w przeliczeniu na okres rozliczeniowy</w:t>
      </w:r>
      <w:bookmarkEnd w:id="53"/>
      <w:bookmarkEnd w:id="54"/>
      <w:r w:rsidRPr="00F24950">
        <w:t>,</w:t>
      </w:r>
    </w:p>
    <w:p w14:paraId="1CF165A9" w14:textId="77777777" w:rsidR="002064A6" w:rsidRDefault="00507B1B" w:rsidP="005D67DE">
      <w:pPr>
        <w:pStyle w:val="Akapitzlist"/>
        <w:spacing w:before="120" w:after="120" w:line="240" w:lineRule="auto"/>
        <w:ind w:left="357"/>
        <w:contextualSpacing w:val="0"/>
        <w:jc w:val="left"/>
      </w:pPr>
      <w:bookmarkStart w:id="55" w:name="_Toc29471761"/>
      <w:bookmarkStart w:id="56" w:name="_Toc29472413"/>
      <w:r w:rsidRPr="00F24950">
        <w:t>RM – rozsądna marża w przeliczeniu na okres rozliczeniowy.</w:t>
      </w:r>
      <w:bookmarkStart w:id="57" w:name="_Toc29471762"/>
      <w:bookmarkStart w:id="58" w:name="_Toc29472414"/>
      <w:bookmarkEnd w:id="55"/>
      <w:bookmarkEnd w:id="56"/>
    </w:p>
    <w:bookmarkEnd w:id="57"/>
    <w:bookmarkEnd w:id="58"/>
    <w:p w14:paraId="73D5BF96" w14:textId="77777777" w:rsidR="00F22F59" w:rsidRPr="002064A6" w:rsidRDefault="002064A6" w:rsidP="00C47A9E">
      <w:pPr>
        <w:pStyle w:val="Akapitzlist"/>
        <w:spacing w:before="120" w:after="120" w:line="240" w:lineRule="auto"/>
        <w:ind w:left="284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3. </w:t>
      </w:r>
      <w:r w:rsidR="00F22F59" w:rsidRPr="002064A6">
        <w:rPr>
          <w:rFonts w:ascii="Calibri Light" w:hAnsi="Calibri Light"/>
          <w:szCs w:val="23"/>
        </w:rPr>
        <w:t>Dane finansowe, księgowe, dane dotyczące wolumenu abonentów, wolumenów ruchu oraz statystyk sieciowych powinny odzwierciedlać stan na 31 grudnia ostatniego roku obrotowego.</w:t>
      </w:r>
      <w:r w:rsidR="001A7484" w:rsidRPr="002064A6">
        <w:rPr>
          <w:rFonts w:ascii="Calibri Light" w:hAnsi="Calibri Light"/>
          <w:szCs w:val="23"/>
        </w:rPr>
        <w:t xml:space="preserve"> </w:t>
      </w:r>
    </w:p>
    <w:p w14:paraId="6A23CA5C" w14:textId="77777777" w:rsidR="00F22F59" w:rsidRDefault="00F22F59" w:rsidP="00C47A9E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</w:t>
      </w:r>
      <w:r w:rsidRPr="001C0091">
        <w:rPr>
          <w:rFonts w:ascii="Calibri Light" w:hAnsi="Calibri Light"/>
          <w:szCs w:val="23"/>
        </w:rPr>
        <w:t xml:space="preserve">ane odnośnie ofert hurtowych oraz detalicznych powinny przedstawiać najbardziej aktualne dane na dzień przeprowadzania </w:t>
      </w:r>
      <w:r w:rsidR="006E75F2">
        <w:rPr>
          <w:rFonts w:ascii="Calibri Light" w:hAnsi="Calibri Light"/>
          <w:szCs w:val="23"/>
        </w:rPr>
        <w:t>T</w:t>
      </w:r>
      <w:r w:rsidR="006E75F2" w:rsidRPr="001C0091">
        <w:rPr>
          <w:rFonts w:ascii="Calibri Light" w:hAnsi="Calibri Light"/>
          <w:szCs w:val="23"/>
        </w:rPr>
        <w:t>estu</w:t>
      </w:r>
      <w:r w:rsidR="006E75F2">
        <w:rPr>
          <w:rFonts w:ascii="Calibri Light" w:hAnsi="Calibri Light"/>
          <w:szCs w:val="23"/>
        </w:rPr>
        <w:t xml:space="preserve"> </w:t>
      </w:r>
      <w:r w:rsidR="002064A6">
        <w:rPr>
          <w:rFonts w:ascii="Calibri Light" w:hAnsi="Calibri Light"/>
          <w:szCs w:val="23"/>
        </w:rPr>
        <w:t>ERT</w:t>
      </w:r>
      <w:r w:rsidRPr="001C0091">
        <w:rPr>
          <w:rFonts w:ascii="Calibri Light" w:hAnsi="Calibri Light"/>
          <w:szCs w:val="23"/>
        </w:rPr>
        <w:t>.</w:t>
      </w:r>
    </w:p>
    <w:p w14:paraId="7A1728C6" w14:textId="77777777" w:rsidR="001A7484" w:rsidRPr="001A7484" w:rsidRDefault="00DE6867" w:rsidP="00C47A9E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W modelu został przyjęty obowiązujący wskaźnik WACC właściwy dla </w:t>
      </w:r>
      <w:r w:rsidR="001A7484">
        <w:t xml:space="preserve">usług </w:t>
      </w:r>
      <w:r w:rsidR="007C2C05">
        <w:t xml:space="preserve">realizowanych </w:t>
      </w:r>
      <w:r>
        <w:br/>
      </w:r>
      <w:r w:rsidR="001A7484">
        <w:t>za pośrednictwem światłowodowej sieci dostępowej.</w:t>
      </w:r>
    </w:p>
    <w:p w14:paraId="65842FB6" w14:textId="77777777" w:rsidR="00F22F59" w:rsidRDefault="001A7484" w:rsidP="00544480">
      <w:pPr>
        <w:pStyle w:val="Akapitzlist"/>
        <w:numPr>
          <w:ilvl w:val="0"/>
          <w:numId w:val="16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Średni </w:t>
      </w:r>
      <w:r w:rsidR="00792964">
        <w:rPr>
          <w:rFonts w:ascii="Calibri Light" w:hAnsi="Calibri Light"/>
          <w:szCs w:val="23"/>
        </w:rPr>
        <w:t>czas życia abonenta</w:t>
      </w:r>
      <w:r>
        <w:rPr>
          <w:rFonts w:ascii="Calibri Light" w:hAnsi="Calibri Light"/>
          <w:szCs w:val="23"/>
        </w:rPr>
        <w:t xml:space="preserve"> został przyjęty w </w:t>
      </w:r>
      <w:r>
        <w:t xml:space="preserve">modelu </w:t>
      </w:r>
      <w:r>
        <w:rPr>
          <w:rFonts w:ascii="Calibri Light" w:hAnsi="Calibri Light"/>
          <w:szCs w:val="23"/>
        </w:rPr>
        <w:t>jako wartość średnia z dostępnych danych dla rynku stacjonarnego dostępu do sieci Internet.</w:t>
      </w:r>
    </w:p>
    <w:p w14:paraId="1B2735A8" w14:textId="77777777" w:rsidR="00C12754" w:rsidRPr="00040E01" w:rsidRDefault="004B4D70" w:rsidP="00544480">
      <w:pPr>
        <w:pStyle w:val="Akapitzlist"/>
        <w:numPr>
          <w:ilvl w:val="0"/>
          <w:numId w:val="16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Na potrzeby przeprowadzenia Testu </w:t>
      </w:r>
      <w:r w:rsidR="002064A6">
        <w:rPr>
          <w:rFonts w:ascii="Calibri Light" w:hAnsi="Calibri Light"/>
          <w:szCs w:val="23"/>
        </w:rPr>
        <w:t xml:space="preserve">ERT </w:t>
      </w:r>
      <w:r>
        <w:rPr>
          <w:rFonts w:ascii="Calibri Light" w:hAnsi="Calibri Light"/>
          <w:szCs w:val="23"/>
        </w:rPr>
        <w:t xml:space="preserve">dla usługi detalicznej, </w:t>
      </w:r>
      <w:r w:rsidR="003405FB">
        <w:rPr>
          <w:rFonts w:ascii="Calibri Light" w:hAnsi="Calibri Light"/>
          <w:szCs w:val="23"/>
        </w:rPr>
        <w:t>świadczonej w oparciu o </w:t>
      </w:r>
      <w:r>
        <w:rPr>
          <w:rFonts w:ascii="Calibri Light" w:hAnsi="Calibri Light"/>
          <w:szCs w:val="23"/>
        </w:rPr>
        <w:t>umowę bezterminową przyjmuje się, że średni czas trwania umowy wynosi 24 miesiące.</w:t>
      </w:r>
    </w:p>
    <w:p w14:paraId="4A422E05" w14:textId="77777777" w:rsidR="00EC3110" w:rsidRPr="00EC3110" w:rsidRDefault="00872F3D" w:rsidP="00EC3110">
      <w:pPr>
        <w:pStyle w:val="Nagwek2"/>
      </w:pPr>
      <w:bookmarkStart w:id="59" w:name="_Toc75849044"/>
      <w:r w:rsidRPr="00872F3D">
        <w:t>Zasady przeprowadzania kalkulacji w ramach arkusza Opłaty detaliczne</w:t>
      </w:r>
      <w:bookmarkEnd w:id="59"/>
    </w:p>
    <w:p w14:paraId="67EC544D" w14:textId="77777777" w:rsidR="00872F3D" w:rsidRPr="00AF4616" w:rsidRDefault="00380C69" w:rsidP="00544480">
      <w:pPr>
        <w:pStyle w:val="Akapitzlist"/>
        <w:keepNext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720DB7">
        <w:rPr>
          <w:rFonts w:ascii="Calibri Light" w:hAnsi="Calibri Light"/>
          <w:szCs w:val="23"/>
        </w:rPr>
        <w:t xml:space="preserve">Na miesięczną cenę detaliczną </w:t>
      </w: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P</m:t>
            </m:r>
          </m:e>
          <m:sub>
            <m:r>
              <w:rPr>
                <w:rFonts w:ascii="Cambria Math" w:hAnsi="Cambria Math"/>
                <w:szCs w:val="23"/>
              </w:rPr>
              <m:t>D</m:t>
            </m:r>
          </m:sub>
        </m:sSub>
      </m:oMath>
      <w:r w:rsidR="00872F3D" w:rsidRPr="00AF4616">
        <w:rPr>
          <w:rFonts w:ascii="Calibri Light" w:hAnsi="Calibri Light"/>
          <w:szCs w:val="23"/>
        </w:rPr>
        <w:t xml:space="preserve"> składają się następujące pozycje (wszystkie netto):</w:t>
      </w:r>
    </w:p>
    <w:p w14:paraId="706AE9AF" w14:textId="77777777" w:rsidR="00872F3D" w:rsidRPr="00AF4616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opłaty jednorazowe,</w:t>
      </w:r>
    </w:p>
    <w:p w14:paraId="5093C500" w14:textId="77777777" w:rsidR="00872F3D" w:rsidRPr="00AF4616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opłaty miesięczne,</w:t>
      </w:r>
    </w:p>
    <w:p w14:paraId="4FF97687" w14:textId="77777777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opłaty za usługi dodatkowe,</w:t>
      </w:r>
    </w:p>
    <w:p w14:paraId="3044F79B" w14:textId="77777777" w:rsidR="00872F3D" w:rsidRPr="00AF4616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detaliczne.</w:t>
      </w:r>
    </w:p>
    <w:p w14:paraId="60DBB1A0" w14:textId="77777777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W modelu</w:t>
      </w:r>
      <w:r w:rsidR="001A7484">
        <w:rPr>
          <w:rFonts w:ascii="Calibri Light" w:hAnsi="Calibri Light"/>
          <w:szCs w:val="23"/>
        </w:rPr>
        <w:t>,</w:t>
      </w:r>
      <w:r>
        <w:rPr>
          <w:rFonts w:ascii="Calibri Light" w:hAnsi="Calibri Light"/>
          <w:szCs w:val="23"/>
        </w:rPr>
        <w:t xml:space="preserve"> </w:t>
      </w:r>
      <w:r w:rsidR="002064A6">
        <w:rPr>
          <w:rFonts w:ascii="Calibri Light" w:hAnsi="Calibri Light"/>
          <w:szCs w:val="23"/>
        </w:rPr>
        <w:t xml:space="preserve">OPL powinna </w:t>
      </w:r>
      <w:r>
        <w:rPr>
          <w:rFonts w:ascii="Calibri Light" w:hAnsi="Calibri Light"/>
          <w:szCs w:val="23"/>
        </w:rPr>
        <w:t xml:space="preserve">uwzględnić opcje oferowanych usług detalicznych, w tym usługi dostępu szerokopasmowego (single play), jak i pakiety usług zawierające usługę dostępu szerokopasmowego. Każda opcja w modelu jest określona przez następujące parametry: </w:t>
      </w:r>
    </w:p>
    <w:p w14:paraId="673A296E" w14:textId="77777777" w:rsidR="00872F3D" w:rsidRPr="00B74945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parametry usługi dostępu szerokopasmowego:</w:t>
      </w:r>
    </w:p>
    <w:p w14:paraId="3D5446CA" w14:textId="3DBA3CD4" w:rsidR="00872F3D" w:rsidRDefault="00872F3D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lastRenderedPageBreak/>
        <w:t>przepustowość DL - p</w:t>
      </w:r>
      <w:r w:rsidRPr="00750FCC">
        <w:rPr>
          <w:rFonts w:ascii="Calibri Light" w:hAnsi="Calibri Light"/>
          <w:szCs w:val="23"/>
        </w:rPr>
        <w:t>rędkość pob</w:t>
      </w:r>
      <w:r>
        <w:rPr>
          <w:rFonts w:ascii="Calibri Light" w:hAnsi="Calibri Light"/>
          <w:szCs w:val="23"/>
        </w:rPr>
        <w:t>ierania</w:t>
      </w:r>
      <w:r w:rsidR="008F421F">
        <w:rPr>
          <w:rFonts w:ascii="Calibri Light" w:hAnsi="Calibri Light"/>
          <w:szCs w:val="23"/>
        </w:rPr>
        <w:t xml:space="preserve"> (downlink</w:t>
      </w:r>
      <w:r w:rsidR="003E1A19">
        <w:rPr>
          <w:rStyle w:val="Odwoanieprzypisudolnego"/>
          <w:rFonts w:ascii="Calibri Light" w:hAnsi="Calibri Light"/>
          <w:szCs w:val="23"/>
        </w:rPr>
        <w:footnoteReference w:id="1"/>
      </w:r>
      <w:r w:rsidR="008F421F">
        <w:rPr>
          <w:rFonts w:ascii="Calibri Light" w:hAnsi="Calibri Light"/>
          <w:szCs w:val="23"/>
        </w:rPr>
        <w:t>)</w:t>
      </w:r>
      <w:r>
        <w:rPr>
          <w:rFonts w:ascii="Calibri Light" w:hAnsi="Calibri Light"/>
          <w:szCs w:val="23"/>
        </w:rPr>
        <w:t>,</w:t>
      </w:r>
    </w:p>
    <w:p w14:paraId="652C8773" w14:textId="4E38BC5C" w:rsidR="00872F3D" w:rsidRPr="00B74945" w:rsidRDefault="00872F3D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przepustowość UL - prędkość wysyłania</w:t>
      </w:r>
      <w:r w:rsidR="008F421F">
        <w:rPr>
          <w:rFonts w:ascii="Calibri Light" w:hAnsi="Calibri Light"/>
          <w:szCs w:val="23"/>
        </w:rPr>
        <w:t xml:space="preserve"> (uplink</w:t>
      </w:r>
      <w:r w:rsidR="003E1A19">
        <w:rPr>
          <w:rStyle w:val="Odwoanieprzypisudolnego"/>
          <w:rFonts w:ascii="Calibri Light" w:hAnsi="Calibri Light"/>
          <w:szCs w:val="23"/>
        </w:rPr>
        <w:footnoteReference w:id="2"/>
      </w:r>
      <w:r w:rsidR="008F421F">
        <w:rPr>
          <w:rFonts w:ascii="Calibri Light" w:hAnsi="Calibri Light"/>
          <w:szCs w:val="23"/>
        </w:rPr>
        <w:t>)</w:t>
      </w:r>
      <w:r w:rsidR="00B23ACE">
        <w:rPr>
          <w:rFonts w:ascii="Calibri Light" w:hAnsi="Calibri Light"/>
          <w:szCs w:val="23"/>
        </w:rPr>
        <w:t>;</w:t>
      </w:r>
    </w:p>
    <w:p w14:paraId="78553F55" w14:textId="77777777" w:rsidR="00872F3D" w:rsidRPr="00B74945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dane odnośnie usług wiązanych:</w:t>
      </w:r>
    </w:p>
    <w:p w14:paraId="796BAA0B" w14:textId="77777777" w:rsidR="00872F3D" w:rsidRPr="00B74945" w:rsidRDefault="00D52832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t</w:t>
      </w:r>
      <w:r w:rsidRPr="00B74945">
        <w:rPr>
          <w:rFonts w:ascii="Calibri Light" w:hAnsi="Calibri Light"/>
          <w:szCs w:val="23"/>
        </w:rPr>
        <w:t xml:space="preserve">elewizja </w:t>
      </w:r>
      <w:r w:rsidR="00872F3D" w:rsidRPr="00B74945">
        <w:rPr>
          <w:rFonts w:ascii="Calibri Light" w:hAnsi="Calibri Light"/>
          <w:szCs w:val="23"/>
        </w:rPr>
        <w:t>w pakiecie</w:t>
      </w:r>
      <w:r w:rsidR="00872F3D">
        <w:rPr>
          <w:rFonts w:ascii="Calibri Light" w:hAnsi="Calibri Light"/>
          <w:szCs w:val="23"/>
        </w:rPr>
        <w:t xml:space="preserve"> – informacja czy w pakiecie wraz z usługą dostępu szerokopasmowego oferowana jest usługa telewizji</w:t>
      </w:r>
      <w:r w:rsidR="00A675B1">
        <w:rPr>
          <w:rFonts w:ascii="Calibri Light" w:hAnsi="Calibri Light"/>
          <w:szCs w:val="23"/>
        </w:rPr>
        <w:t>,</w:t>
      </w:r>
    </w:p>
    <w:p w14:paraId="3267661A" w14:textId="77777777" w:rsidR="00872F3D" w:rsidRPr="00B74945" w:rsidRDefault="00D52832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t</w:t>
      </w:r>
      <w:r w:rsidRPr="00B74945">
        <w:rPr>
          <w:rFonts w:ascii="Calibri Light" w:hAnsi="Calibri Light"/>
          <w:szCs w:val="23"/>
        </w:rPr>
        <w:t xml:space="preserve">elefon </w:t>
      </w:r>
      <w:r w:rsidR="00872F3D" w:rsidRPr="00B74945">
        <w:rPr>
          <w:rFonts w:ascii="Calibri Light" w:hAnsi="Calibri Light"/>
          <w:szCs w:val="23"/>
        </w:rPr>
        <w:t>stacjonarny w pakiecie</w:t>
      </w:r>
      <w:r w:rsidR="00872F3D">
        <w:rPr>
          <w:rFonts w:ascii="Calibri Light" w:hAnsi="Calibri Light"/>
          <w:szCs w:val="23"/>
        </w:rPr>
        <w:t xml:space="preserve"> – informacja czy w pakiecie wraz z usługą dostępu szerokopasmowego oferowana jest usługa telefonii stacjonarnej</w:t>
      </w:r>
      <w:r w:rsidR="00A675B1">
        <w:rPr>
          <w:rFonts w:ascii="Calibri Light" w:hAnsi="Calibri Light"/>
          <w:szCs w:val="23"/>
        </w:rPr>
        <w:t>,</w:t>
      </w:r>
    </w:p>
    <w:p w14:paraId="43C4C1E5" w14:textId="77777777" w:rsidR="00872F3D" w:rsidRDefault="00D52832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u</w:t>
      </w:r>
      <w:r w:rsidRPr="00B74945">
        <w:rPr>
          <w:rFonts w:ascii="Calibri Light" w:hAnsi="Calibri Light"/>
          <w:szCs w:val="23"/>
        </w:rPr>
        <w:t xml:space="preserve">sługi </w:t>
      </w:r>
      <w:r w:rsidR="00872F3D" w:rsidRPr="00B74945">
        <w:rPr>
          <w:rFonts w:ascii="Calibri Light" w:hAnsi="Calibri Light"/>
          <w:szCs w:val="23"/>
        </w:rPr>
        <w:t>mobilne w pakiecie</w:t>
      </w:r>
      <w:r w:rsidR="00872F3D">
        <w:rPr>
          <w:rFonts w:ascii="Calibri Light" w:hAnsi="Calibri Light"/>
          <w:szCs w:val="23"/>
        </w:rPr>
        <w:t xml:space="preserve"> – informacja czy w pakiecie wraz z usługą dostępu szerokopasmowego oferowane są usługi mobilne (głosowe lub transmisja danych)</w:t>
      </w:r>
      <w:r w:rsidR="00A675B1">
        <w:rPr>
          <w:rFonts w:ascii="Calibri Light" w:hAnsi="Calibri Light"/>
          <w:szCs w:val="23"/>
        </w:rPr>
        <w:t>,</w:t>
      </w:r>
    </w:p>
    <w:p w14:paraId="6E4F4ED9" w14:textId="77777777" w:rsidR="00872F3D" w:rsidRPr="00B74945" w:rsidRDefault="00D52832" w:rsidP="00544480">
      <w:pPr>
        <w:pStyle w:val="Akapitzlist"/>
        <w:numPr>
          <w:ilvl w:val="2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rodzaj </w:t>
      </w:r>
      <w:r w:rsidR="00872F3D">
        <w:rPr>
          <w:rFonts w:ascii="Calibri Light" w:hAnsi="Calibri Light"/>
          <w:szCs w:val="23"/>
        </w:rPr>
        <w:t>pakietu usług telewizyjnych – informacja odnośnie pakietu usług telewizyjnych</w:t>
      </w:r>
      <w:r w:rsidR="001A7484">
        <w:rPr>
          <w:rFonts w:ascii="Calibri Light" w:hAnsi="Calibri Light"/>
          <w:szCs w:val="23"/>
        </w:rPr>
        <w:t xml:space="preserve"> świadczonych przez </w:t>
      </w:r>
      <w:r w:rsidR="00B10EBB">
        <w:rPr>
          <w:rFonts w:ascii="Calibri Light" w:hAnsi="Calibri Light"/>
          <w:szCs w:val="23"/>
        </w:rPr>
        <w:t xml:space="preserve">OPL </w:t>
      </w:r>
      <w:r w:rsidR="001A7484">
        <w:rPr>
          <w:rFonts w:ascii="Calibri Light" w:hAnsi="Calibri Light"/>
          <w:szCs w:val="23"/>
        </w:rPr>
        <w:t xml:space="preserve">wraz z </w:t>
      </w:r>
      <w:r w:rsidR="00B23ACE">
        <w:rPr>
          <w:rFonts w:ascii="Calibri Light" w:hAnsi="Calibri Light"/>
          <w:szCs w:val="23"/>
        </w:rPr>
        <w:t>usługą dostępu szerokopasmowego;</w:t>
      </w:r>
    </w:p>
    <w:p w14:paraId="7390C0CE" w14:textId="77777777" w:rsidR="00AE13D8" w:rsidRPr="00AE13D8" w:rsidRDefault="00AE13D8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c</w:t>
      </w:r>
      <w:r w:rsidR="00872F3D" w:rsidRPr="00B74945">
        <w:rPr>
          <w:rFonts w:ascii="Calibri Light" w:hAnsi="Calibri Light"/>
          <w:szCs w:val="23"/>
        </w:rPr>
        <w:t>zas trwania danej umowy terminowej</w:t>
      </w:r>
      <w:r w:rsidR="00872F3D">
        <w:rPr>
          <w:rFonts w:ascii="Calibri Light" w:hAnsi="Calibri Light"/>
          <w:szCs w:val="23"/>
        </w:rPr>
        <w:t xml:space="preserve"> – informacja odnośnie długości umowy dla p</w:t>
      </w:r>
      <w:r>
        <w:rPr>
          <w:rFonts w:ascii="Calibri Light" w:hAnsi="Calibri Light"/>
          <w:szCs w:val="23"/>
        </w:rPr>
        <w:t>rzedstawionych cen detalicznych, w podziale na długość okresu oraz cen</w:t>
      </w:r>
      <w:r w:rsidR="004D702D">
        <w:rPr>
          <w:rFonts w:ascii="Calibri Light" w:hAnsi="Calibri Light"/>
          <w:szCs w:val="23"/>
        </w:rPr>
        <w:t>ę</w:t>
      </w:r>
      <w:r w:rsidR="003405FB">
        <w:rPr>
          <w:rFonts w:ascii="Calibri Light" w:hAnsi="Calibri Light"/>
          <w:szCs w:val="23"/>
        </w:rPr>
        <w:t xml:space="preserve"> detaliczną w </w:t>
      </w:r>
      <w:r>
        <w:rPr>
          <w:rFonts w:ascii="Calibri Light" w:hAnsi="Calibri Light"/>
          <w:szCs w:val="23"/>
        </w:rPr>
        <w:t xml:space="preserve">okresie promocyjnym oraz </w:t>
      </w:r>
      <w:r w:rsidR="00474643">
        <w:rPr>
          <w:rFonts w:ascii="Calibri Light" w:hAnsi="Calibri Light"/>
          <w:szCs w:val="23"/>
        </w:rPr>
        <w:t>cen</w:t>
      </w:r>
      <w:r w:rsidR="004D702D">
        <w:rPr>
          <w:rFonts w:ascii="Calibri Light" w:hAnsi="Calibri Light"/>
          <w:szCs w:val="23"/>
        </w:rPr>
        <w:t>ę</w:t>
      </w:r>
      <w:r w:rsidR="00474643">
        <w:rPr>
          <w:rFonts w:ascii="Calibri Light" w:hAnsi="Calibri Light"/>
          <w:szCs w:val="23"/>
        </w:rPr>
        <w:t xml:space="preserve"> </w:t>
      </w:r>
      <w:r>
        <w:rPr>
          <w:rFonts w:ascii="Calibri Light" w:hAnsi="Calibri Light"/>
          <w:szCs w:val="23"/>
        </w:rPr>
        <w:t>poza okresem promocyjnym.</w:t>
      </w:r>
      <w:r w:rsidR="00474643">
        <w:rPr>
          <w:rFonts w:ascii="Calibri Light" w:hAnsi="Calibri Light"/>
          <w:szCs w:val="23"/>
        </w:rPr>
        <w:t xml:space="preserve"> </w:t>
      </w:r>
      <w:r>
        <w:rPr>
          <w:rFonts w:ascii="Calibri Light" w:hAnsi="Calibri Light"/>
          <w:szCs w:val="23"/>
        </w:rPr>
        <w:t>Jeżeli</w:t>
      </w:r>
      <w:r w:rsidR="00474643">
        <w:rPr>
          <w:rFonts w:ascii="Calibri Light" w:hAnsi="Calibri Light"/>
          <w:szCs w:val="23"/>
        </w:rPr>
        <w:t xml:space="preserve"> </w:t>
      </w:r>
      <w:r w:rsidR="00586DCF">
        <w:rPr>
          <w:rFonts w:ascii="Calibri Light" w:hAnsi="Calibri Light"/>
          <w:szCs w:val="23"/>
        </w:rPr>
        <w:t xml:space="preserve">OPL </w:t>
      </w:r>
      <w:r>
        <w:rPr>
          <w:rFonts w:ascii="Calibri Light" w:hAnsi="Calibri Light"/>
          <w:szCs w:val="23"/>
        </w:rPr>
        <w:t>nie</w:t>
      </w:r>
      <w:r w:rsidR="00474643">
        <w:rPr>
          <w:rFonts w:ascii="Calibri Light" w:hAnsi="Calibri Light"/>
          <w:szCs w:val="23"/>
        </w:rPr>
        <w:t xml:space="preserve"> </w:t>
      </w:r>
      <w:r>
        <w:rPr>
          <w:rFonts w:ascii="Calibri Light" w:hAnsi="Calibri Light"/>
          <w:szCs w:val="23"/>
        </w:rPr>
        <w:t xml:space="preserve">stosuje okresów promocyjnych w modelu powinien wpisać wartość </w:t>
      </w:r>
      <w:r w:rsidR="009408D4">
        <w:rPr>
          <w:rFonts w:ascii="Calibri Light" w:hAnsi="Calibri Light"/>
          <w:szCs w:val="23"/>
        </w:rPr>
        <w:t>0</w:t>
      </w:r>
      <w:r>
        <w:rPr>
          <w:rFonts w:ascii="Calibri Light" w:hAnsi="Calibri Light"/>
          <w:szCs w:val="23"/>
        </w:rPr>
        <w:t xml:space="preserve"> jako długość okresu promocyjnego.</w:t>
      </w:r>
    </w:p>
    <w:p w14:paraId="1341A749" w14:textId="77777777" w:rsidR="00872F3D" w:rsidRPr="00B74945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Dla każdej z opcji </w:t>
      </w:r>
      <w:r w:rsidR="00586DCF">
        <w:rPr>
          <w:rFonts w:ascii="Calibri Light" w:hAnsi="Calibri Light"/>
          <w:szCs w:val="23"/>
        </w:rPr>
        <w:t xml:space="preserve">OPL </w:t>
      </w:r>
      <w:r>
        <w:rPr>
          <w:rFonts w:ascii="Calibri Light" w:hAnsi="Calibri Light"/>
          <w:szCs w:val="23"/>
        </w:rPr>
        <w:t>powinien przedstawić wolumen abonentów na 31 grudnia ostatniego roku obrotowego</w:t>
      </w:r>
      <w:r w:rsidR="00A07467">
        <w:rPr>
          <w:rFonts w:ascii="Calibri Light" w:hAnsi="Calibri Light"/>
          <w:szCs w:val="23"/>
        </w:rPr>
        <w:t xml:space="preserve">. </w:t>
      </w:r>
    </w:p>
    <w:p w14:paraId="58BB4627" w14:textId="77777777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Dla każdej z opcji w model</w:t>
      </w:r>
      <w:r w:rsidR="00AE13D8">
        <w:rPr>
          <w:rFonts w:ascii="Calibri Light" w:hAnsi="Calibri Light"/>
          <w:szCs w:val="23"/>
        </w:rPr>
        <w:t>u wyznaczana jest średni</w:t>
      </w:r>
      <w:r w:rsidR="00A675B1">
        <w:rPr>
          <w:rFonts w:ascii="Calibri Light" w:hAnsi="Calibri Light"/>
          <w:szCs w:val="23"/>
        </w:rPr>
        <w:t>a</w:t>
      </w:r>
      <w:r w:rsidR="00AE13D8">
        <w:rPr>
          <w:rFonts w:ascii="Calibri Light" w:hAnsi="Calibri Light"/>
          <w:szCs w:val="23"/>
        </w:rPr>
        <w:t xml:space="preserve"> opłata</w:t>
      </w:r>
      <w:r>
        <w:rPr>
          <w:rFonts w:ascii="Calibri Light" w:hAnsi="Calibri Light"/>
          <w:szCs w:val="23"/>
        </w:rPr>
        <w:t xml:space="preserve"> miesięczn</w:t>
      </w:r>
      <w:r w:rsidR="00A675B1">
        <w:rPr>
          <w:rFonts w:ascii="Calibri Light" w:hAnsi="Calibri Light"/>
          <w:szCs w:val="23"/>
        </w:rPr>
        <w:t>a</w:t>
      </w:r>
      <w:r>
        <w:rPr>
          <w:rFonts w:ascii="Calibri Light" w:hAnsi="Calibri Light"/>
          <w:szCs w:val="23"/>
        </w:rPr>
        <w:t>, w której skład wchodzą:</w:t>
      </w:r>
    </w:p>
    <w:p w14:paraId="237F2D92" w14:textId="77777777" w:rsidR="00872F3D" w:rsidRDefault="00E00EF7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opłaty </w:t>
      </w:r>
      <w:r w:rsidR="00872F3D">
        <w:rPr>
          <w:rFonts w:ascii="Calibri Light" w:hAnsi="Calibri Light"/>
          <w:szCs w:val="23"/>
        </w:rPr>
        <w:t>jednorazowe związane z podłączeniem abonenta, aktywacją usługi oraz dostarczeniem wyposażenia dodatkowego, które rozkładane są przez model</w:t>
      </w:r>
      <w:r w:rsidR="00872F3D" w:rsidRPr="00AF4616">
        <w:rPr>
          <w:rFonts w:ascii="Calibri Light" w:hAnsi="Calibri Light"/>
          <w:szCs w:val="23"/>
        </w:rPr>
        <w:t xml:space="preserve"> równomiernie na zakładany czas życia abonenta</w:t>
      </w:r>
      <w:r w:rsidR="00A675B1">
        <w:rPr>
          <w:rFonts w:ascii="Calibri Light" w:hAnsi="Calibri Light"/>
          <w:szCs w:val="23"/>
        </w:rPr>
        <w:t>,</w:t>
      </w:r>
    </w:p>
    <w:p w14:paraId="610406FD" w14:textId="33FCC32A" w:rsidR="00872F3D" w:rsidRPr="006F3064" w:rsidRDefault="00E00EF7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opłaty </w:t>
      </w:r>
      <w:r w:rsidR="00872F3D">
        <w:rPr>
          <w:rFonts w:ascii="Calibri Light" w:hAnsi="Calibri Light"/>
          <w:szCs w:val="23"/>
        </w:rPr>
        <w:t xml:space="preserve">miesięczne abonamentowe, opłaty miesięczne związane z wyposażeniem abonenckim oraz średnie miesięczne opłaty związane z usługami dodatkowymi </w:t>
      </w:r>
      <w:r w:rsidR="00340FA2">
        <w:rPr>
          <w:rFonts w:ascii="Calibri Light" w:hAnsi="Calibri Light"/>
          <w:szCs w:val="23"/>
        </w:rPr>
        <w:br/>
      </w:r>
      <w:r w:rsidR="00872F3D">
        <w:rPr>
          <w:rFonts w:ascii="Calibri Light" w:hAnsi="Calibri Light"/>
          <w:szCs w:val="23"/>
        </w:rPr>
        <w:t>(VoD</w:t>
      </w:r>
      <w:r w:rsidR="0090468E">
        <w:rPr>
          <w:rStyle w:val="Odwoanieprzypisudolnego"/>
          <w:rFonts w:ascii="Calibri Light" w:hAnsi="Calibri Light"/>
          <w:szCs w:val="23"/>
        </w:rPr>
        <w:footnoteReference w:id="3"/>
      </w:r>
      <w:r w:rsidR="00872F3D">
        <w:rPr>
          <w:rFonts w:ascii="Calibri Light" w:hAnsi="Calibri Light"/>
          <w:szCs w:val="23"/>
        </w:rPr>
        <w:t>, telefonicznymi).</w:t>
      </w:r>
    </w:p>
    <w:p w14:paraId="728D06A7" w14:textId="351F825C" w:rsidR="00872F3D" w:rsidRDefault="00872F3D" w:rsidP="00A32B95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lastRenderedPageBreak/>
        <w:t>Opłaty jednorazowe za dostarczenie wyposażenia dodatkowego powinny dotyczyć wyposażenia abonenckiego (np. ONT</w:t>
      </w:r>
      <w:r w:rsidR="003E1A19">
        <w:rPr>
          <w:rStyle w:val="Odwoanieprzypisudolnego"/>
          <w:rFonts w:ascii="Calibri Light" w:hAnsi="Calibri Light"/>
          <w:szCs w:val="23"/>
        </w:rPr>
        <w:footnoteReference w:id="4"/>
      </w:r>
      <w:r>
        <w:rPr>
          <w:rFonts w:ascii="Calibri Light" w:hAnsi="Calibri Light"/>
          <w:szCs w:val="23"/>
        </w:rPr>
        <w:t xml:space="preserve">, </w:t>
      </w:r>
      <w:r w:rsidRPr="006F3064">
        <w:rPr>
          <w:rFonts w:ascii="Calibri Light" w:hAnsi="Calibri Light"/>
          <w:szCs w:val="23"/>
        </w:rPr>
        <w:t>router</w:t>
      </w:r>
      <w:r>
        <w:rPr>
          <w:rFonts w:ascii="Calibri Light" w:hAnsi="Calibri Light"/>
          <w:szCs w:val="23"/>
        </w:rPr>
        <w:t>a</w:t>
      </w:r>
      <w:r w:rsidR="003E1A19">
        <w:rPr>
          <w:rStyle w:val="Odwoanieprzypisudolnego"/>
          <w:rFonts w:ascii="Calibri Light" w:hAnsi="Calibri Light"/>
          <w:szCs w:val="23"/>
        </w:rPr>
        <w:footnoteReference w:id="5"/>
      </w:r>
      <w:r w:rsidRPr="006F3064">
        <w:rPr>
          <w:rFonts w:ascii="Calibri Light" w:hAnsi="Calibri Light"/>
          <w:szCs w:val="23"/>
        </w:rPr>
        <w:t xml:space="preserve">, </w:t>
      </w:r>
      <w:r w:rsidR="00472865">
        <w:rPr>
          <w:rFonts w:ascii="Calibri Light" w:hAnsi="Calibri Light"/>
          <w:szCs w:val="23"/>
        </w:rPr>
        <w:t>routera</w:t>
      </w:r>
      <w:r>
        <w:rPr>
          <w:rFonts w:ascii="Calibri Light" w:hAnsi="Calibri Light"/>
          <w:szCs w:val="23"/>
        </w:rPr>
        <w:t xml:space="preserve"> Wifi</w:t>
      </w:r>
      <w:r w:rsidR="003E1A19">
        <w:rPr>
          <w:rStyle w:val="Odwoanieprzypisudolnego"/>
          <w:rFonts w:ascii="Calibri Light" w:hAnsi="Calibri Light"/>
          <w:szCs w:val="23"/>
        </w:rPr>
        <w:footnoteReference w:id="6"/>
      </w:r>
      <w:r w:rsidRPr="006F3064">
        <w:rPr>
          <w:rFonts w:ascii="Calibri Light" w:hAnsi="Calibri Light"/>
          <w:szCs w:val="23"/>
        </w:rPr>
        <w:t>,</w:t>
      </w:r>
      <w:r>
        <w:rPr>
          <w:rFonts w:ascii="Calibri Light" w:hAnsi="Calibri Light"/>
          <w:szCs w:val="23"/>
        </w:rPr>
        <w:t xml:space="preserve"> </w:t>
      </w:r>
      <w:r w:rsidRPr="006F3064">
        <w:rPr>
          <w:rFonts w:ascii="Calibri Light" w:hAnsi="Calibri Light"/>
          <w:szCs w:val="23"/>
        </w:rPr>
        <w:t>dekoder</w:t>
      </w:r>
      <w:r>
        <w:rPr>
          <w:rFonts w:ascii="Calibri Light" w:hAnsi="Calibri Light"/>
          <w:szCs w:val="23"/>
        </w:rPr>
        <w:t>a TV</w:t>
      </w:r>
      <w:r w:rsidRPr="006F3064">
        <w:rPr>
          <w:rFonts w:ascii="Calibri Light" w:hAnsi="Calibri Light"/>
          <w:szCs w:val="23"/>
        </w:rPr>
        <w:t>, telefon</w:t>
      </w:r>
      <w:r>
        <w:rPr>
          <w:rFonts w:ascii="Calibri Light" w:hAnsi="Calibri Light"/>
          <w:szCs w:val="23"/>
        </w:rPr>
        <w:t xml:space="preserve">u stacjonarnego) oraz innych </w:t>
      </w:r>
      <w:r w:rsidR="00472865">
        <w:rPr>
          <w:rFonts w:ascii="Calibri Light" w:hAnsi="Calibri Light"/>
          <w:szCs w:val="23"/>
        </w:rPr>
        <w:t>urządzeń i dodatków</w:t>
      </w:r>
      <w:r>
        <w:rPr>
          <w:rFonts w:ascii="Calibri Light" w:hAnsi="Calibri Light"/>
          <w:szCs w:val="23"/>
        </w:rPr>
        <w:t xml:space="preserve"> dostarczanych abonentowi w ramach opłaty </w:t>
      </w:r>
      <w:r w:rsidR="00472865">
        <w:rPr>
          <w:rFonts w:ascii="Calibri Light" w:hAnsi="Calibri Light"/>
          <w:szCs w:val="23"/>
        </w:rPr>
        <w:t xml:space="preserve">abonamentowej </w:t>
      </w:r>
      <w:r>
        <w:rPr>
          <w:rFonts w:ascii="Calibri Light" w:hAnsi="Calibri Light"/>
          <w:szCs w:val="23"/>
        </w:rPr>
        <w:t>(np.</w:t>
      </w:r>
      <w:r w:rsidR="003405FB">
        <w:rPr>
          <w:rFonts w:ascii="Calibri Light" w:hAnsi="Calibri Light"/>
          <w:szCs w:val="23"/>
        </w:rPr>
        <w:t> </w:t>
      </w:r>
      <w:r>
        <w:rPr>
          <w:rFonts w:ascii="Calibri Light" w:hAnsi="Calibri Light"/>
          <w:szCs w:val="23"/>
        </w:rPr>
        <w:t>drukarki</w:t>
      </w:r>
      <w:r w:rsidRPr="006F3064">
        <w:rPr>
          <w:rFonts w:ascii="Calibri Light" w:hAnsi="Calibri Light"/>
          <w:szCs w:val="23"/>
        </w:rPr>
        <w:t>, odtwarzacz</w:t>
      </w:r>
      <w:r w:rsidR="00472865">
        <w:rPr>
          <w:rFonts w:ascii="Calibri Light" w:hAnsi="Calibri Light"/>
          <w:szCs w:val="23"/>
        </w:rPr>
        <w:t>e</w:t>
      </w:r>
      <w:r w:rsidRPr="006F3064">
        <w:rPr>
          <w:rFonts w:ascii="Calibri Light" w:hAnsi="Calibri Light"/>
          <w:szCs w:val="23"/>
        </w:rPr>
        <w:t xml:space="preserve"> mp3,</w:t>
      </w:r>
      <w:r>
        <w:rPr>
          <w:rFonts w:ascii="Calibri Light" w:hAnsi="Calibri Light"/>
          <w:szCs w:val="23"/>
        </w:rPr>
        <w:t xml:space="preserve"> konsol</w:t>
      </w:r>
      <w:r w:rsidR="00472865">
        <w:rPr>
          <w:rFonts w:ascii="Calibri Light" w:hAnsi="Calibri Light"/>
          <w:szCs w:val="23"/>
        </w:rPr>
        <w:t>e</w:t>
      </w:r>
      <w:r>
        <w:rPr>
          <w:rFonts w:ascii="Calibri Light" w:hAnsi="Calibri Light"/>
          <w:szCs w:val="23"/>
        </w:rPr>
        <w:t xml:space="preserve"> do gier</w:t>
      </w:r>
      <w:r w:rsidR="00472865">
        <w:rPr>
          <w:rFonts w:ascii="Calibri Light" w:hAnsi="Calibri Light"/>
          <w:szCs w:val="23"/>
        </w:rPr>
        <w:t>, bilety</w:t>
      </w:r>
      <w:r>
        <w:rPr>
          <w:rFonts w:ascii="Calibri Light" w:hAnsi="Calibri Light"/>
          <w:szCs w:val="23"/>
        </w:rPr>
        <w:t>). Opłaty te nie powinny uwzględniać wyposażenia abonenckiego związanego ze świadczeniem usług mobilnych.</w:t>
      </w:r>
      <w:r w:rsidR="00A32B95">
        <w:rPr>
          <w:rFonts w:ascii="Calibri Light" w:hAnsi="Calibri Light"/>
          <w:szCs w:val="23"/>
        </w:rPr>
        <w:t xml:space="preserve"> W</w:t>
      </w:r>
      <w:r w:rsidR="00A32B95" w:rsidRPr="00A32B95">
        <w:rPr>
          <w:rFonts w:ascii="Calibri Light" w:hAnsi="Calibri Light"/>
          <w:szCs w:val="23"/>
        </w:rPr>
        <w:t xml:space="preserve"> przypadku stosowania w Ofertach OPL urządzenia zintegrowanego (ONT+Router) w tej pozycji była wykazana różnica pomiędzy kosztem urządzenia zintegrowanego i ONT</w:t>
      </w:r>
      <w:r w:rsidR="00A32B95">
        <w:rPr>
          <w:rFonts w:ascii="Calibri Light" w:hAnsi="Calibri Light"/>
          <w:szCs w:val="23"/>
        </w:rPr>
        <w:t>.</w:t>
      </w:r>
    </w:p>
    <w:p w14:paraId="27452057" w14:textId="19AC527F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Opłaty miesięczne nie powinny </w:t>
      </w:r>
      <w:r w:rsidRPr="006F3064">
        <w:rPr>
          <w:rFonts w:ascii="Calibri Light" w:hAnsi="Calibri Light"/>
          <w:szCs w:val="23"/>
        </w:rPr>
        <w:t>uwzględniać dodatkowych opcj</w:t>
      </w:r>
      <w:r w:rsidR="001B2771">
        <w:rPr>
          <w:rFonts w:ascii="Calibri Light" w:hAnsi="Calibri Light"/>
          <w:szCs w:val="23"/>
        </w:rPr>
        <w:t>i</w:t>
      </w:r>
      <w:r w:rsidRPr="006F3064">
        <w:rPr>
          <w:rFonts w:ascii="Calibri Light" w:hAnsi="Calibri Light"/>
          <w:szCs w:val="23"/>
        </w:rPr>
        <w:t xml:space="preserve"> takich jak multiroom</w:t>
      </w:r>
      <w:r w:rsidR="0007137D">
        <w:rPr>
          <w:rStyle w:val="Odwoanieprzypisudolnego"/>
          <w:rFonts w:ascii="Calibri Light" w:hAnsi="Calibri Light"/>
          <w:szCs w:val="23"/>
        </w:rPr>
        <w:footnoteReference w:id="7"/>
      </w:r>
      <w:r w:rsidRPr="006F3064">
        <w:rPr>
          <w:rFonts w:ascii="Calibri Light" w:hAnsi="Calibri Light"/>
          <w:szCs w:val="23"/>
        </w:rPr>
        <w:t xml:space="preserve">, </w:t>
      </w:r>
      <w:r w:rsidR="00FF25FB">
        <w:rPr>
          <w:rFonts w:ascii="Calibri Light" w:hAnsi="Calibri Light"/>
          <w:szCs w:val="23"/>
        </w:rPr>
        <w:br/>
      </w:r>
      <w:r w:rsidRPr="006F3064">
        <w:rPr>
          <w:rFonts w:ascii="Calibri Light" w:hAnsi="Calibri Light"/>
          <w:szCs w:val="23"/>
        </w:rPr>
        <w:t>pakiety telewizji premium, hosting, bezpieczeństwo</w:t>
      </w:r>
      <w:r>
        <w:rPr>
          <w:rFonts w:ascii="Calibri Light" w:hAnsi="Calibri Light"/>
          <w:szCs w:val="23"/>
        </w:rPr>
        <w:t>.</w:t>
      </w:r>
    </w:p>
    <w:p w14:paraId="21F68432" w14:textId="77777777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</w:t>
      </w:r>
      <w:r w:rsidRPr="006F3064">
        <w:rPr>
          <w:rFonts w:ascii="Calibri Light" w:hAnsi="Calibri Light"/>
          <w:szCs w:val="23"/>
        </w:rPr>
        <w:t>płaty</w:t>
      </w:r>
      <w:r>
        <w:rPr>
          <w:rFonts w:ascii="Calibri Light" w:hAnsi="Calibri Light"/>
          <w:szCs w:val="23"/>
        </w:rPr>
        <w:t xml:space="preserve"> miesięczne </w:t>
      </w:r>
      <w:r w:rsidRPr="006F3064">
        <w:rPr>
          <w:rFonts w:ascii="Calibri Light" w:hAnsi="Calibri Light"/>
          <w:szCs w:val="23"/>
        </w:rPr>
        <w:t>związane z usługami dodatkowy</w:t>
      </w:r>
      <w:r>
        <w:rPr>
          <w:rFonts w:ascii="Calibri Light" w:hAnsi="Calibri Light"/>
          <w:szCs w:val="23"/>
        </w:rPr>
        <w:t>mi</w:t>
      </w:r>
      <w:r w:rsidRPr="006F3064">
        <w:rPr>
          <w:rFonts w:ascii="Calibri Light" w:hAnsi="Calibri Light"/>
          <w:szCs w:val="23"/>
        </w:rPr>
        <w:t xml:space="preserve"> (VoD, VoIP) powinny przedstawiać średni miesięczny przychód z usług dodatkowych (VoD, VoIP) </w:t>
      </w:r>
      <w:r>
        <w:rPr>
          <w:rFonts w:ascii="Calibri Light" w:hAnsi="Calibri Light"/>
          <w:szCs w:val="23"/>
        </w:rPr>
        <w:t xml:space="preserve">na abonenta </w:t>
      </w:r>
      <w:r w:rsidR="00586DCF">
        <w:rPr>
          <w:rFonts w:ascii="Calibri Light" w:hAnsi="Calibri Light"/>
          <w:szCs w:val="23"/>
        </w:rPr>
        <w:t xml:space="preserve">OPL </w:t>
      </w:r>
      <w:r>
        <w:rPr>
          <w:rFonts w:ascii="Calibri Light" w:hAnsi="Calibri Light"/>
          <w:szCs w:val="23"/>
        </w:rPr>
        <w:t>posiadającego w pakiecie usługi dodatkowe.</w:t>
      </w:r>
    </w:p>
    <w:p w14:paraId="093A3CCC" w14:textId="77777777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Jeżeli </w:t>
      </w:r>
      <w:r w:rsidR="00586DCF">
        <w:rPr>
          <w:rFonts w:ascii="Calibri Light" w:hAnsi="Calibri Light"/>
          <w:szCs w:val="23"/>
        </w:rPr>
        <w:t xml:space="preserve">OPL </w:t>
      </w:r>
      <w:r>
        <w:rPr>
          <w:rFonts w:ascii="Calibri Light" w:hAnsi="Calibri Light"/>
          <w:szCs w:val="23"/>
        </w:rPr>
        <w:t xml:space="preserve">stosuje czasowe upusty w okresie promocyjnym, średnią opłatę miesięczną </w:t>
      </w:r>
      <w:r w:rsidRPr="00AF4616">
        <w:rPr>
          <w:rFonts w:ascii="Calibri Light" w:hAnsi="Calibri Light"/>
          <w:szCs w:val="23"/>
        </w:rPr>
        <w:t xml:space="preserve">usługi detalicznej </w:t>
      </w:r>
      <w:r>
        <w:rPr>
          <w:rFonts w:ascii="Calibri Light" w:hAnsi="Calibri Light"/>
          <w:szCs w:val="23"/>
        </w:rPr>
        <w:t xml:space="preserve">model wylicza </w:t>
      </w:r>
      <w:r w:rsidRPr="00AF4616">
        <w:rPr>
          <w:rFonts w:ascii="Calibri Light" w:hAnsi="Calibri Light"/>
          <w:szCs w:val="23"/>
        </w:rPr>
        <w:t>na</w:t>
      </w:r>
      <w:r>
        <w:rPr>
          <w:rFonts w:ascii="Calibri Light" w:hAnsi="Calibri Light"/>
          <w:szCs w:val="23"/>
        </w:rPr>
        <w:t xml:space="preserve"> podstawie opłaty</w:t>
      </w:r>
      <w:r w:rsidRPr="00AF4616">
        <w:rPr>
          <w:rFonts w:ascii="Calibri Light" w:hAnsi="Calibri Light"/>
          <w:szCs w:val="23"/>
        </w:rPr>
        <w:t xml:space="preserve"> miesięcz</w:t>
      </w:r>
      <w:r>
        <w:rPr>
          <w:rFonts w:ascii="Calibri Light" w:hAnsi="Calibri Light"/>
          <w:szCs w:val="23"/>
        </w:rPr>
        <w:t>nej w okresie promocyjnym i opłaty miesięcznej</w:t>
      </w:r>
      <w:r w:rsidRPr="00AF4616">
        <w:rPr>
          <w:rFonts w:ascii="Calibri Light" w:hAnsi="Calibri Light"/>
          <w:szCs w:val="23"/>
        </w:rPr>
        <w:t xml:space="preserve"> poza okre</w:t>
      </w:r>
      <w:r>
        <w:rPr>
          <w:rFonts w:ascii="Calibri Light" w:hAnsi="Calibri Light"/>
          <w:szCs w:val="23"/>
        </w:rPr>
        <w:t>sem promocyjnym, które uiszcza a</w:t>
      </w:r>
      <w:r w:rsidRPr="00AF4616">
        <w:rPr>
          <w:rFonts w:ascii="Calibri Light" w:hAnsi="Calibri Light"/>
          <w:szCs w:val="23"/>
        </w:rPr>
        <w:t>bonent</w:t>
      </w:r>
      <w:r>
        <w:rPr>
          <w:rFonts w:ascii="Calibri Light" w:hAnsi="Calibri Light"/>
          <w:szCs w:val="23"/>
        </w:rPr>
        <w:t xml:space="preserve"> </w:t>
      </w:r>
      <w:r w:rsidR="00586DCF">
        <w:rPr>
          <w:rFonts w:ascii="Calibri Light" w:hAnsi="Calibri Light"/>
          <w:szCs w:val="23"/>
        </w:rPr>
        <w:t>OPL</w:t>
      </w:r>
      <w:r w:rsidR="00586DCF" w:rsidRPr="00AF4616">
        <w:rPr>
          <w:rFonts w:ascii="Calibri Light" w:hAnsi="Calibri Light"/>
          <w:szCs w:val="23"/>
        </w:rPr>
        <w:t xml:space="preserve"> </w:t>
      </w:r>
      <w:r w:rsidRPr="00AF4616">
        <w:rPr>
          <w:rFonts w:ascii="Calibri Light" w:hAnsi="Calibri Light"/>
          <w:szCs w:val="23"/>
        </w:rPr>
        <w:t>kor</w:t>
      </w:r>
      <w:r>
        <w:rPr>
          <w:rFonts w:ascii="Calibri Light" w:hAnsi="Calibri Light"/>
          <w:szCs w:val="23"/>
        </w:rPr>
        <w:t xml:space="preserve">zystający z usługi detalicznej. </w:t>
      </w:r>
    </w:p>
    <w:p w14:paraId="1A3B0E4A" w14:textId="77777777" w:rsidR="004C6F39" w:rsidRPr="00A0348F" w:rsidRDefault="004C6F39" w:rsidP="004C6F39">
      <w:pPr>
        <w:pStyle w:val="Akapitzlist"/>
        <w:suppressAutoHyphens/>
        <w:spacing w:before="120" w:after="0" w:line="240" w:lineRule="auto"/>
        <w:ind w:left="360"/>
        <w:contextualSpacing w:val="0"/>
        <w:jc w:val="left"/>
        <w:rPr>
          <w:sz w:val="20"/>
          <w:szCs w:val="20"/>
        </w:rPr>
      </w:pPr>
    </w:p>
    <w:p w14:paraId="669FFEDA" w14:textId="77777777" w:rsidR="00A0348F" w:rsidRPr="00D81D06" w:rsidRDefault="00A0348F" w:rsidP="00A0348F">
      <w:pPr>
        <w:suppressAutoHyphens/>
        <w:spacing w:before="120" w:after="0" w:line="240" w:lineRule="auto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Średnioważona cena mies.  =</m:t>
          </m:r>
        </m:oMath>
      </m:oMathPara>
    </w:p>
    <w:p w14:paraId="2300E676" w14:textId="7DA3D0A7" w:rsidR="00872F3D" w:rsidRPr="00D81D06" w:rsidRDefault="0050005F" w:rsidP="00872F3D">
      <w:pPr>
        <w:pStyle w:val="Akapitzlist"/>
        <w:suppressAutoHyphens/>
        <w:spacing w:before="120" w:after="0" w:line="240" w:lineRule="auto"/>
        <w:ind w:left="360"/>
        <w:contextualSpacing w:val="0"/>
        <w:rPr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cena mies.  w promo.  × liczba mies.  w promo.  + cena mies.  poza promo.  × liczba miesięcy poza promo.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okres trwania umowy terminowej w mies.</m:t>
              </m:r>
            </m:den>
          </m:f>
        </m:oMath>
      </m:oMathPara>
    </w:p>
    <w:p w14:paraId="7495FA9B" w14:textId="77777777" w:rsidR="004C6F39" w:rsidRDefault="004C6F39" w:rsidP="004C6F39">
      <w:pPr>
        <w:pStyle w:val="Akapitzlist"/>
        <w:suppressAutoHyphens/>
        <w:spacing w:before="120" w:after="0" w:line="240" w:lineRule="auto"/>
        <w:ind w:left="360"/>
        <w:jc w:val="left"/>
        <w:rPr>
          <w:rFonts w:ascii="Calibri Light" w:hAnsi="Calibri Light"/>
          <w:szCs w:val="23"/>
        </w:rPr>
      </w:pPr>
    </w:p>
    <w:p w14:paraId="38BBFFEC" w14:textId="77777777" w:rsidR="00872F3D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Dla każdej z opcji w modelu </w:t>
      </w:r>
      <w:r w:rsidR="00586DCF">
        <w:rPr>
          <w:rFonts w:ascii="Calibri Light" w:hAnsi="Calibri Light"/>
          <w:szCs w:val="23"/>
        </w:rPr>
        <w:t xml:space="preserve">OPL </w:t>
      </w:r>
      <w:r>
        <w:rPr>
          <w:rFonts w:ascii="Calibri Light" w:hAnsi="Calibri Light"/>
          <w:szCs w:val="23"/>
        </w:rPr>
        <w:t>przedstawia jednostkowe koszty detaliczne, w których skład wchodzą:</w:t>
      </w:r>
    </w:p>
    <w:p w14:paraId="1F55E511" w14:textId="4231CCC6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lastRenderedPageBreak/>
        <w:t>koszty kontentu telewizyjnego dla pakietów telewizyjnych (m.in. koszty kontentu, ZAiKS)</w:t>
      </w:r>
      <w:r w:rsidR="00A675B1">
        <w:rPr>
          <w:rFonts w:ascii="Calibri Light" w:hAnsi="Calibri Light"/>
          <w:szCs w:val="23"/>
        </w:rPr>
        <w:t>,</w:t>
      </w:r>
      <w:r>
        <w:rPr>
          <w:rFonts w:ascii="Calibri Light" w:hAnsi="Calibri Light"/>
          <w:szCs w:val="23"/>
        </w:rPr>
        <w:t xml:space="preserve"> </w:t>
      </w:r>
      <w:r w:rsidR="00A675B1">
        <w:rPr>
          <w:rFonts w:ascii="Calibri Light" w:hAnsi="Calibri Light"/>
          <w:szCs w:val="23"/>
        </w:rPr>
        <w:t>k</w:t>
      </w:r>
      <w:r>
        <w:rPr>
          <w:rFonts w:ascii="Calibri Light" w:hAnsi="Calibri Light"/>
          <w:szCs w:val="23"/>
        </w:rPr>
        <w:t>oszty kontentu nie powinny zawierać kosztów platformy IPTV</w:t>
      </w:r>
      <w:r w:rsidR="0007137D">
        <w:rPr>
          <w:rStyle w:val="Odwoanieprzypisudolnego"/>
          <w:rFonts w:ascii="Calibri Light" w:hAnsi="Calibri Light"/>
          <w:szCs w:val="23"/>
        </w:rPr>
        <w:footnoteReference w:id="8"/>
      </w:r>
      <w:r>
        <w:rPr>
          <w:rFonts w:ascii="Calibri Light" w:hAnsi="Calibri Light"/>
          <w:szCs w:val="23"/>
        </w:rPr>
        <w:t xml:space="preserve"> oraz kosztów sieciowych transmisji sygnału</w:t>
      </w:r>
      <w:r w:rsidR="009552AA">
        <w:rPr>
          <w:rFonts w:ascii="Calibri Light" w:hAnsi="Calibri Light"/>
          <w:szCs w:val="23"/>
        </w:rPr>
        <w:t>,</w:t>
      </w:r>
    </w:p>
    <w:p w14:paraId="3D4178F8" w14:textId="4970728E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kontentu V</w:t>
      </w:r>
      <w:r w:rsidR="004530FF">
        <w:rPr>
          <w:rFonts w:ascii="Calibri Light" w:hAnsi="Calibri Light"/>
          <w:szCs w:val="23"/>
        </w:rPr>
        <w:t>o</w:t>
      </w:r>
      <w:r>
        <w:rPr>
          <w:rFonts w:ascii="Calibri Light" w:hAnsi="Calibri Light"/>
          <w:szCs w:val="23"/>
        </w:rPr>
        <w:t xml:space="preserve">D - </w:t>
      </w:r>
      <w:r w:rsidRPr="00484BBC">
        <w:rPr>
          <w:rFonts w:ascii="Calibri Light" w:hAnsi="Calibri Light"/>
          <w:szCs w:val="23"/>
        </w:rPr>
        <w:t>średni m</w:t>
      </w:r>
      <w:r w:rsidR="003405FB">
        <w:rPr>
          <w:rFonts w:ascii="Calibri Light" w:hAnsi="Calibri Light"/>
          <w:szCs w:val="23"/>
        </w:rPr>
        <w:t>iesięczny koszt kontentu VoD na </w:t>
      </w:r>
      <w:r w:rsidRPr="00484BBC">
        <w:rPr>
          <w:rFonts w:ascii="Calibri Light" w:hAnsi="Calibri Light"/>
          <w:szCs w:val="23"/>
        </w:rPr>
        <w:t>abonenta posiadającego w ofercie telewizj</w:t>
      </w:r>
      <w:r w:rsidR="00A675B1">
        <w:rPr>
          <w:rFonts w:ascii="Calibri Light" w:hAnsi="Calibri Light"/>
          <w:szCs w:val="23"/>
        </w:rPr>
        <w:t>ę</w:t>
      </w:r>
      <w:r>
        <w:rPr>
          <w:rFonts w:ascii="Calibri Light" w:hAnsi="Calibri Light"/>
          <w:szCs w:val="23"/>
        </w:rPr>
        <w:t>,</w:t>
      </w:r>
    </w:p>
    <w:p w14:paraId="13CA99FD" w14:textId="2A9728EE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związane z ruchem V</w:t>
      </w:r>
      <w:r w:rsidR="00A675B1">
        <w:rPr>
          <w:rFonts w:ascii="Calibri Light" w:hAnsi="Calibri Light"/>
          <w:szCs w:val="23"/>
        </w:rPr>
        <w:t>o</w:t>
      </w:r>
      <w:r>
        <w:rPr>
          <w:rFonts w:ascii="Calibri Light" w:hAnsi="Calibri Light"/>
          <w:szCs w:val="23"/>
        </w:rPr>
        <w:t>IP</w:t>
      </w:r>
      <w:r w:rsidR="0007137D">
        <w:rPr>
          <w:rStyle w:val="Odwoanieprzypisudolnego"/>
          <w:rFonts w:ascii="Calibri Light" w:hAnsi="Calibri Light"/>
          <w:szCs w:val="23"/>
        </w:rPr>
        <w:footnoteReference w:id="9"/>
      </w:r>
      <w:r>
        <w:rPr>
          <w:rFonts w:ascii="Calibri Light" w:hAnsi="Calibri Light"/>
          <w:szCs w:val="23"/>
        </w:rPr>
        <w:t xml:space="preserve"> - </w:t>
      </w:r>
      <w:r w:rsidRPr="00484BBC">
        <w:rPr>
          <w:rFonts w:ascii="Calibri Light" w:hAnsi="Calibri Light"/>
          <w:szCs w:val="23"/>
        </w:rPr>
        <w:t xml:space="preserve">średni miesięczny koszt połączeń wychodzących </w:t>
      </w:r>
      <w:r w:rsidR="00FF25FB">
        <w:rPr>
          <w:rFonts w:ascii="Calibri Light" w:hAnsi="Calibri Light"/>
          <w:szCs w:val="23"/>
        </w:rPr>
        <w:br/>
      </w:r>
      <w:r w:rsidRPr="00484BBC">
        <w:rPr>
          <w:rFonts w:ascii="Calibri Light" w:hAnsi="Calibri Light"/>
          <w:szCs w:val="23"/>
        </w:rPr>
        <w:t>na abonenta V</w:t>
      </w:r>
      <w:r w:rsidR="00A675B1">
        <w:rPr>
          <w:rFonts w:ascii="Calibri Light" w:hAnsi="Calibri Light"/>
          <w:szCs w:val="23"/>
        </w:rPr>
        <w:t>o</w:t>
      </w:r>
      <w:r w:rsidRPr="00484BBC">
        <w:rPr>
          <w:rFonts w:ascii="Calibri Light" w:hAnsi="Calibri Light"/>
          <w:szCs w:val="23"/>
        </w:rPr>
        <w:t>IP</w:t>
      </w:r>
      <w:r>
        <w:rPr>
          <w:rFonts w:ascii="Calibri Light" w:hAnsi="Calibri Light"/>
          <w:szCs w:val="23"/>
        </w:rPr>
        <w:t>,</w:t>
      </w:r>
    </w:p>
    <w:p w14:paraId="5E8234DB" w14:textId="77777777" w:rsidR="00872F3D" w:rsidRPr="00720DB7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B22EB7">
        <w:rPr>
          <w:rFonts w:ascii="Calibri Light" w:hAnsi="Calibri Light"/>
          <w:szCs w:val="23"/>
        </w:rPr>
        <w:t>średni</w:t>
      </w:r>
      <w:r>
        <w:rPr>
          <w:rFonts w:ascii="Calibri Light" w:hAnsi="Calibri Light"/>
          <w:szCs w:val="23"/>
        </w:rPr>
        <w:t xml:space="preserve"> </w:t>
      </w:r>
      <w:r w:rsidRPr="00720DB7">
        <w:rPr>
          <w:rFonts w:ascii="Calibri Light" w:hAnsi="Calibri Light"/>
          <w:szCs w:val="23"/>
        </w:rPr>
        <w:t xml:space="preserve">koszt zakupu </w:t>
      </w:r>
      <w:r w:rsidR="00380C69" w:rsidRPr="00720DB7">
        <w:rPr>
          <w:rFonts w:ascii="Calibri Light" w:hAnsi="Calibri Light"/>
          <w:szCs w:val="23"/>
        </w:rPr>
        <w:t>wyposażenia dodatkowego</w:t>
      </w:r>
      <w:r w:rsidRPr="00720DB7">
        <w:rPr>
          <w:rFonts w:ascii="Calibri Light" w:hAnsi="Calibri Light"/>
          <w:szCs w:val="23"/>
        </w:rPr>
        <w:t xml:space="preserve"> – </w:t>
      </w:r>
      <w:r w:rsidR="00AE13D8" w:rsidRPr="00720DB7">
        <w:rPr>
          <w:rFonts w:ascii="Calibri Light" w:hAnsi="Calibri Light"/>
          <w:szCs w:val="23"/>
        </w:rPr>
        <w:t xml:space="preserve">średni koszt zakupu </w:t>
      </w:r>
      <w:r w:rsidRPr="00720DB7">
        <w:rPr>
          <w:rFonts w:ascii="Calibri Light" w:hAnsi="Calibri Light"/>
          <w:szCs w:val="23"/>
        </w:rPr>
        <w:t xml:space="preserve">wyposażenia abonenckiego </w:t>
      </w:r>
      <w:r w:rsidR="00202DAB" w:rsidRPr="00720DB7">
        <w:rPr>
          <w:rFonts w:ascii="Calibri Light" w:hAnsi="Calibri Light"/>
          <w:szCs w:val="23"/>
        </w:rPr>
        <w:t>(routera, routera Wifi, dekodera TV, telefonu stacjonarnego) oraz innych urządzeń i dodatków dostarczanych abonentowi w ramach opłaty abonamentowej (np. drukarki, odtwarzacze mp3, konsole do gier, bilety</w:t>
      </w:r>
      <w:r w:rsidRPr="00720DB7">
        <w:rPr>
          <w:rFonts w:ascii="Calibri Light" w:hAnsi="Calibri Light"/>
          <w:szCs w:val="23"/>
        </w:rPr>
        <w:t>). Zakres wyposażenia do</w:t>
      </w:r>
      <w:r w:rsidR="003405FB" w:rsidRPr="00720DB7">
        <w:rPr>
          <w:rFonts w:ascii="Calibri Light" w:hAnsi="Calibri Light"/>
          <w:szCs w:val="23"/>
        </w:rPr>
        <w:t>datkowego powinien być spójny z </w:t>
      </w:r>
      <w:r w:rsidRPr="00720DB7">
        <w:rPr>
          <w:rFonts w:ascii="Calibri Light" w:hAnsi="Calibri Light"/>
          <w:szCs w:val="23"/>
        </w:rPr>
        <w:t>zakresem wyposażenia uwzględnionego w opłatach jednorazowych. W tej pozycji nie powinny być uwzględniane koszty ONT, ponieważ są one uwzględniane w kosztach hurtowych.</w:t>
      </w:r>
    </w:p>
    <w:p w14:paraId="4432AD5E" w14:textId="77777777" w:rsidR="00872F3D" w:rsidRPr="00720DB7" w:rsidRDefault="00872F3D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720DB7">
        <w:rPr>
          <w:rFonts w:ascii="Calibri Light" w:hAnsi="Calibri Light"/>
          <w:szCs w:val="23"/>
        </w:rPr>
        <w:t xml:space="preserve">W celu wyznaczenia </w:t>
      </w:r>
      <w:r w:rsidR="00380C69" w:rsidRPr="00720DB7">
        <w:rPr>
          <w:rFonts w:ascii="Calibri Light" w:hAnsi="Calibri Light"/>
          <w:szCs w:val="23"/>
        </w:rPr>
        <w:t>miesięcznej ceny detalicznej</w:t>
      </w:r>
      <w:r w:rsidR="00D81D06" w:rsidRPr="00720DB7">
        <w:rPr>
          <w:rFonts w:ascii="Calibri Light" w:hAnsi="Calibri Light"/>
          <w:szCs w:val="23"/>
        </w:rPr>
        <w:t xml:space="preserve"> usługi szerokopasmowej</w:t>
      </w:r>
      <w:r w:rsidRPr="00720DB7">
        <w:rPr>
          <w:rFonts w:ascii="Calibri Light" w:hAnsi="Calibri Light"/>
          <w:szCs w:val="23"/>
        </w:rPr>
        <w:t xml:space="preserve"> od średniej </w:t>
      </w:r>
      <w:r w:rsidR="00D81D06" w:rsidRPr="00720DB7">
        <w:rPr>
          <w:rFonts w:ascii="Calibri Light" w:hAnsi="Calibri Light"/>
          <w:szCs w:val="23"/>
        </w:rPr>
        <w:t xml:space="preserve">detalicznej </w:t>
      </w:r>
      <w:r w:rsidRPr="00720DB7">
        <w:rPr>
          <w:rFonts w:ascii="Calibri Light" w:hAnsi="Calibri Light"/>
          <w:szCs w:val="23"/>
        </w:rPr>
        <w:t>opłaty miesięcznej odejmuje się:</w:t>
      </w:r>
    </w:p>
    <w:p w14:paraId="6731D9FE" w14:textId="77777777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B22EB7">
        <w:rPr>
          <w:rFonts w:ascii="Calibri Light" w:hAnsi="Calibri Light"/>
          <w:szCs w:val="23"/>
        </w:rPr>
        <w:t xml:space="preserve">średnią wartość </w:t>
      </w:r>
      <w:r>
        <w:rPr>
          <w:rFonts w:ascii="Calibri Light" w:hAnsi="Calibri Light"/>
          <w:szCs w:val="23"/>
        </w:rPr>
        <w:t xml:space="preserve">wyposażenia dodatkowego, </w:t>
      </w:r>
      <w:r w:rsidR="00AE13D8">
        <w:rPr>
          <w:rFonts w:ascii="Calibri Light" w:hAnsi="Calibri Light"/>
          <w:szCs w:val="23"/>
        </w:rPr>
        <w:t>rozłożoną</w:t>
      </w:r>
      <w:r w:rsidRPr="00AF4616">
        <w:rPr>
          <w:rFonts w:ascii="Calibri Light" w:hAnsi="Calibri Light"/>
          <w:szCs w:val="23"/>
        </w:rPr>
        <w:t xml:space="preserve"> równomiernie n</w:t>
      </w:r>
      <w:r>
        <w:rPr>
          <w:rFonts w:ascii="Calibri Light" w:hAnsi="Calibri Light"/>
          <w:szCs w:val="23"/>
        </w:rPr>
        <w:t>a czas trwania umowy terminowej,</w:t>
      </w:r>
    </w:p>
    <w:p w14:paraId="7E84E639" w14:textId="77777777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kontentu V</w:t>
      </w:r>
      <w:r w:rsidR="009D68AC">
        <w:rPr>
          <w:rFonts w:ascii="Calibri Light" w:hAnsi="Calibri Light"/>
          <w:szCs w:val="23"/>
        </w:rPr>
        <w:t>o</w:t>
      </w:r>
      <w:r>
        <w:rPr>
          <w:rFonts w:ascii="Calibri Light" w:hAnsi="Calibri Light"/>
          <w:szCs w:val="23"/>
        </w:rPr>
        <w:t>D oraz ruchu V</w:t>
      </w:r>
      <w:r w:rsidR="009D68AC">
        <w:rPr>
          <w:rFonts w:ascii="Calibri Light" w:hAnsi="Calibri Light"/>
          <w:szCs w:val="23"/>
        </w:rPr>
        <w:t>o</w:t>
      </w:r>
      <w:r>
        <w:rPr>
          <w:rFonts w:ascii="Calibri Light" w:hAnsi="Calibri Light"/>
          <w:szCs w:val="23"/>
        </w:rPr>
        <w:t>IP,</w:t>
      </w:r>
    </w:p>
    <w:p w14:paraId="4B8109B3" w14:textId="77777777" w:rsidR="00872F3D" w:rsidRDefault="00872F3D" w:rsidP="00544480">
      <w:pPr>
        <w:pStyle w:val="Akapitzlist"/>
        <w:numPr>
          <w:ilvl w:val="1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opłatę inkrementalną</w:t>
      </w:r>
      <w:r w:rsidRPr="00B22EB7">
        <w:rPr>
          <w:rFonts w:ascii="Calibri Light" w:hAnsi="Calibri Light"/>
          <w:szCs w:val="23"/>
        </w:rPr>
        <w:t xml:space="preserve"> za usługi mobilne</w:t>
      </w:r>
      <w:r>
        <w:rPr>
          <w:rFonts w:ascii="Calibri Light" w:hAnsi="Calibri Light"/>
          <w:szCs w:val="23"/>
        </w:rPr>
        <w:t xml:space="preserve"> (jeżeli uwzględnione w pakiecie).</w:t>
      </w:r>
    </w:p>
    <w:p w14:paraId="305DEE92" w14:textId="77777777" w:rsidR="00872F3D" w:rsidRPr="00040E01" w:rsidRDefault="000875CE" w:rsidP="00544480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Na potrzeby przeprowadzenia </w:t>
      </w:r>
      <w:r w:rsidR="006E75F2">
        <w:rPr>
          <w:rFonts w:ascii="Calibri Light" w:hAnsi="Calibri Light"/>
          <w:szCs w:val="23"/>
        </w:rPr>
        <w:t xml:space="preserve">Testu </w:t>
      </w:r>
      <w:r w:rsidR="00586DCF">
        <w:rPr>
          <w:rFonts w:ascii="Calibri Light" w:hAnsi="Calibri Light"/>
          <w:szCs w:val="23"/>
        </w:rPr>
        <w:t xml:space="preserve">ERT </w:t>
      </w:r>
      <w:r>
        <w:rPr>
          <w:rFonts w:ascii="Calibri Light" w:hAnsi="Calibri Light"/>
          <w:szCs w:val="23"/>
        </w:rPr>
        <w:t>dla usługi detal</w:t>
      </w:r>
      <w:r w:rsidR="003405FB">
        <w:rPr>
          <w:rFonts w:ascii="Calibri Light" w:hAnsi="Calibri Light"/>
          <w:szCs w:val="23"/>
        </w:rPr>
        <w:t>icznej, świadczonej w oparciu o </w:t>
      </w:r>
      <w:r>
        <w:rPr>
          <w:rFonts w:ascii="Calibri Light" w:hAnsi="Calibri Light"/>
          <w:szCs w:val="23"/>
        </w:rPr>
        <w:t>umowę bezterminową przyjmuje się, że</w:t>
      </w:r>
      <w:r w:rsidR="00AE13D8">
        <w:rPr>
          <w:rFonts w:ascii="Calibri Light" w:hAnsi="Calibri Light"/>
          <w:szCs w:val="23"/>
        </w:rPr>
        <w:t xml:space="preserve"> średni</w:t>
      </w:r>
      <w:r>
        <w:rPr>
          <w:rFonts w:ascii="Calibri Light" w:hAnsi="Calibri Light"/>
          <w:szCs w:val="23"/>
        </w:rPr>
        <w:t xml:space="preserve"> czas trwania umowy wynosi 24 miesiące.</w:t>
      </w:r>
    </w:p>
    <w:p w14:paraId="1E962903" w14:textId="77777777" w:rsidR="00EC3110" w:rsidRPr="00EC3110" w:rsidRDefault="008B18A1" w:rsidP="00EC3110">
      <w:pPr>
        <w:pStyle w:val="Nagwek2"/>
      </w:pPr>
      <w:bookmarkStart w:id="60" w:name="_Toc75849045"/>
      <w:r w:rsidRPr="008B18A1">
        <w:t xml:space="preserve">Zasady </w:t>
      </w:r>
      <w:r w:rsidR="00B23ACE" w:rsidRPr="008B18A1">
        <w:t>wyznacz</w:t>
      </w:r>
      <w:r w:rsidR="00B23ACE">
        <w:t>a</w:t>
      </w:r>
      <w:r w:rsidR="00B23ACE" w:rsidRPr="008B18A1">
        <w:t>nia</w:t>
      </w:r>
      <w:r w:rsidRPr="008B18A1">
        <w:t xml:space="preserve"> opłat w ramach arkusza Opłaty hurtowe</w:t>
      </w:r>
      <w:bookmarkEnd w:id="60"/>
    </w:p>
    <w:p w14:paraId="01B026FE" w14:textId="77777777" w:rsidR="008B18A1" w:rsidRPr="003D2604" w:rsidRDefault="008B18A1" w:rsidP="00440574">
      <w:pPr>
        <w:pStyle w:val="Akapitzlist"/>
        <w:spacing w:after="200" w:line="276" w:lineRule="auto"/>
        <w:ind w:left="357"/>
        <w:contextualSpacing w:val="0"/>
        <w:jc w:val="left"/>
        <w:rPr>
          <w:rFonts w:ascii="Calibri Light" w:hAnsi="Calibri Light"/>
          <w:szCs w:val="23"/>
        </w:rPr>
      </w:pPr>
      <w:r w:rsidRPr="003D2604">
        <w:rPr>
          <w:rFonts w:ascii="Calibri Light" w:hAnsi="Calibri Light"/>
          <w:szCs w:val="23"/>
        </w:rPr>
        <w:t xml:space="preserve">Na miesięczną opłatę za </w:t>
      </w:r>
      <w:r w:rsidR="007C2C05">
        <w:rPr>
          <w:rFonts w:ascii="Calibri Light" w:hAnsi="Calibri Light"/>
          <w:szCs w:val="23"/>
        </w:rPr>
        <w:t>U</w:t>
      </w:r>
      <w:r w:rsidR="007C2C05" w:rsidRPr="003D2604">
        <w:rPr>
          <w:rFonts w:ascii="Calibri Light" w:hAnsi="Calibri Light"/>
          <w:szCs w:val="23"/>
        </w:rPr>
        <w:t xml:space="preserve">sługi </w:t>
      </w:r>
      <w:r w:rsidRPr="003D2604">
        <w:rPr>
          <w:rFonts w:ascii="Calibri Light" w:hAnsi="Calibri Light"/>
          <w:szCs w:val="23"/>
        </w:rPr>
        <w:t xml:space="preserve">hurtowe </w:t>
      </w: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H</m:t>
            </m:r>
          </m:sub>
        </m:sSub>
      </m:oMath>
      <w:r>
        <w:rPr>
          <w:rFonts w:ascii="Calibri Light" w:hAnsi="Calibri Light"/>
          <w:szCs w:val="23"/>
        </w:rPr>
        <w:t xml:space="preserve">, dla dostępu na poziomie BSA </w:t>
      </w:r>
      <w:r w:rsidR="008D4B13">
        <w:rPr>
          <w:rFonts w:ascii="Calibri Light" w:hAnsi="Calibri Light"/>
          <w:szCs w:val="23"/>
        </w:rPr>
        <w:t xml:space="preserve">Ethernet </w:t>
      </w:r>
      <w:r w:rsidRPr="003D2604">
        <w:rPr>
          <w:rFonts w:ascii="Calibri Light" w:hAnsi="Calibri Light"/>
          <w:szCs w:val="23"/>
        </w:rPr>
        <w:t>składają się następujące pozycje:</w:t>
      </w:r>
    </w:p>
    <w:p w14:paraId="5DD49C03" w14:textId="77777777" w:rsidR="008B18A1" w:rsidRDefault="008B18A1" w:rsidP="00DF6FC7">
      <w:pPr>
        <w:pStyle w:val="Akapitzlist"/>
        <w:numPr>
          <w:ilvl w:val="1"/>
          <w:numId w:val="22"/>
        </w:numPr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lastRenderedPageBreak/>
        <w:t>suma miesięcznych opłat</w:t>
      </w:r>
      <w:r w:rsidR="007C2C05">
        <w:rPr>
          <w:rFonts w:ascii="Calibri Light" w:hAnsi="Calibri Light"/>
          <w:szCs w:val="23"/>
        </w:rPr>
        <w:t>,</w:t>
      </w:r>
      <w:r>
        <w:rPr>
          <w:rFonts w:ascii="Calibri Light" w:hAnsi="Calibri Light"/>
          <w:szCs w:val="23"/>
        </w:rPr>
        <w:t xml:space="preserve"> w tym:</w:t>
      </w:r>
    </w:p>
    <w:p w14:paraId="407212B5" w14:textId="5B0A398D" w:rsidR="008B18A1" w:rsidRDefault="008B18A1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</w:pPr>
      <w:r>
        <w:rPr>
          <w:rFonts w:ascii="Calibri Light" w:hAnsi="Calibri Light"/>
          <w:szCs w:val="23"/>
        </w:rPr>
        <w:t>opłaty miesięczne BSA dla opcji prędkości i poziomu dostępu</w:t>
      </w:r>
      <w:r w:rsidR="00B10EBB">
        <w:rPr>
          <w:rFonts w:ascii="Calibri Light" w:hAnsi="Calibri Light"/>
          <w:szCs w:val="23"/>
        </w:rPr>
        <w:t xml:space="preserve"> wraz z opłatą </w:t>
      </w:r>
      <w:r w:rsidR="00B10EBB">
        <w:t xml:space="preserve">miesięczną </w:t>
      </w:r>
      <w:r>
        <w:t>za utrzymanie łącza abonenckiego dla usługi BSA</w:t>
      </w:r>
      <w:r w:rsidR="00B10EBB">
        <w:t xml:space="preserve"> z ONT lub bez ONT w zabudowie jednorodzinnej lub wielorodzinnej</w:t>
      </w:r>
      <w:r>
        <w:t>,</w:t>
      </w:r>
    </w:p>
    <w:p w14:paraId="73447EA5" w14:textId="77777777" w:rsidR="00B10EBB" w:rsidRDefault="008B18A1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średnia opłat</w:t>
      </w:r>
      <w:r w:rsidR="000F34F9">
        <w:rPr>
          <w:rFonts w:ascii="Calibri Light" w:hAnsi="Calibri Light"/>
          <w:szCs w:val="23"/>
        </w:rPr>
        <w:t xml:space="preserve">a za </w:t>
      </w:r>
      <w:r w:rsidR="00FC069F">
        <w:rPr>
          <w:rFonts w:ascii="Calibri Light" w:hAnsi="Calibri Light"/>
          <w:szCs w:val="23"/>
        </w:rPr>
        <w:t xml:space="preserve">kolokację </w:t>
      </w:r>
      <w:r w:rsidR="000F34F9">
        <w:rPr>
          <w:rFonts w:ascii="Calibri Light" w:hAnsi="Calibri Light"/>
          <w:szCs w:val="23"/>
        </w:rPr>
        <w:t>w węźle Ethernet</w:t>
      </w:r>
      <w:r w:rsidR="00B10EBB">
        <w:rPr>
          <w:rFonts w:ascii="Calibri Light" w:hAnsi="Calibri Light"/>
          <w:szCs w:val="23"/>
        </w:rPr>
        <w:t>,</w:t>
      </w:r>
    </w:p>
    <w:p w14:paraId="25BB786E" w14:textId="77777777" w:rsidR="008B18A1" w:rsidRDefault="008B18A1" w:rsidP="00DF6FC7">
      <w:pPr>
        <w:pStyle w:val="Akapitzlist"/>
        <w:numPr>
          <w:ilvl w:val="1"/>
          <w:numId w:val="22"/>
        </w:numPr>
        <w:spacing w:before="120" w:after="120" w:line="240" w:lineRule="auto"/>
        <w:ind w:left="714" w:hanging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opłaty jednorazowe za uruchomienie i konfiguracje</w:t>
      </w:r>
      <w:r w:rsidR="007C2C05">
        <w:rPr>
          <w:rFonts w:ascii="Calibri Light" w:hAnsi="Calibri Light"/>
          <w:szCs w:val="23"/>
        </w:rPr>
        <w:t xml:space="preserve">, </w:t>
      </w:r>
      <w:r w:rsidR="000F34F9">
        <w:rPr>
          <w:rFonts w:ascii="Calibri Light" w:hAnsi="Calibri Light"/>
          <w:szCs w:val="23"/>
        </w:rPr>
        <w:t>w tym:</w:t>
      </w:r>
    </w:p>
    <w:p w14:paraId="2407CA70" w14:textId="77777777" w:rsidR="008B18A1" w:rsidRDefault="008B18A1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uruchomienie usługi BSA,</w:t>
      </w:r>
    </w:p>
    <w:p w14:paraId="59EDE02F" w14:textId="77777777" w:rsidR="008B18A1" w:rsidRDefault="000F34F9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dezaktywacj</w:t>
      </w:r>
      <w:r w:rsidR="003D370E">
        <w:rPr>
          <w:rFonts w:ascii="Calibri Light" w:hAnsi="Calibri Light"/>
          <w:szCs w:val="23"/>
        </w:rPr>
        <w:t>ę</w:t>
      </w:r>
      <w:r>
        <w:rPr>
          <w:rFonts w:ascii="Calibri Light" w:hAnsi="Calibri Light"/>
          <w:szCs w:val="23"/>
        </w:rPr>
        <w:t xml:space="preserve"> usługi</w:t>
      </w:r>
      <w:r w:rsidR="00B23ACE">
        <w:rPr>
          <w:rFonts w:ascii="Calibri Light" w:hAnsi="Calibri Light"/>
          <w:szCs w:val="23"/>
        </w:rPr>
        <w:t>;</w:t>
      </w:r>
    </w:p>
    <w:p w14:paraId="15BE5F71" w14:textId="77777777" w:rsidR="008B18A1" w:rsidRDefault="008B18A1" w:rsidP="00DF6FC7">
      <w:pPr>
        <w:pStyle w:val="Akapitzlist"/>
        <w:numPr>
          <w:ilvl w:val="1"/>
          <w:numId w:val="22"/>
        </w:numPr>
        <w:spacing w:before="120" w:after="120" w:line="240" w:lineRule="auto"/>
        <w:ind w:left="714" w:hanging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opłaty jednorazowe za uruchomienie i konfiguracje PDU związane z uruchomieniem i konfiguracją punktu styku sieci</w:t>
      </w:r>
      <w:r>
        <w:rPr>
          <w:rFonts w:ascii="Calibri Light" w:hAnsi="Calibri Light"/>
          <w:szCs w:val="23"/>
        </w:rPr>
        <w:t xml:space="preserve"> w tym</w:t>
      </w:r>
      <w:r w:rsidR="000F34F9">
        <w:rPr>
          <w:rFonts w:ascii="Calibri Light" w:hAnsi="Calibri Light"/>
          <w:szCs w:val="23"/>
        </w:rPr>
        <w:t>:</w:t>
      </w:r>
    </w:p>
    <w:p w14:paraId="436028E6" w14:textId="013CB413" w:rsidR="000279FD" w:rsidRDefault="00B10EBB" w:rsidP="00DF6FC7">
      <w:pPr>
        <w:pStyle w:val="Akapitzlist"/>
        <w:numPr>
          <w:ilvl w:val="0"/>
          <w:numId w:val="30"/>
        </w:numPr>
        <w:suppressAutoHyphens/>
        <w:spacing w:before="120" w:after="120" w:line="240" w:lineRule="auto"/>
        <w:ind w:hanging="11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 </w:t>
      </w:r>
      <w:r w:rsidRPr="00440574">
        <w:rPr>
          <w:rFonts w:ascii="Calibri Light" w:hAnsi="Calibri Light"/>
          <w:szCs w:val="23"/>
        </w:rPr>
        <w:t xml:space="preserve">opłata za uruchomienie portu </w:t>
      </w:r>
      <w:r w:rsidR="00380C69" w:rsidRPr="00A3544F">
        <w:rPr>
          <w:rFonts w:ascii="Calibri Light" w:hAnsi="Calibri Light"/>
          <w:szCs w:val="23"/>
        </w:rPr>
        <w:t>1GE, 10GE</w:t>
      </w:r>
      <w:r w:rsidR="00720312">
        <w:rPr>
          <w:rFonts w:ascii="Calibri Light" w:hAnsi="Calibri Light"/>
          <w:szCs w:val="23"/>
        </w:rPr>
        <w:t>,</w:t>
      </w:r>
      <w:r w:rsidR="00380C69" w:rsidRPr="00A3544F">
        <w:rPr>
          <w:rFonts w:ascii="Calibri Light" w:hAnsi="Calibri Light"/>
          <w:szCs w:val="23"/>
        </w:rPr>
        <w:t xml:space="preserve"> 100GE </w:t>
      </w:r>
      <w:r w:rsidRPr="00216178">
        <w:rPr>
          <w:rFonts w:ascii="Calibri Light" w:hAnsi="Calibri Light"/>
          <w:szCs w:val="23"/>
        </w:rPr>
        <w:t>na</w:t>
      </w:r>
      <w:r w:rsidRPr="00440574">
        <w:rPr>
          <w:rFonts w:ascii="Calibri Light" w:hAnsi="Calibri Light"/>
          <w:szCs w:val="23"/>
        </w:rPr>
        <w:t xml:space="preserve"> poziomie Ethernet</w:t>
      </w:r>
      <w:r w:rsidR="000279FD">
        <w:rPr>
          <w:rFonts w:ascii="Calibri Light" w:hAnsi="Calibri Light"/>
          <w:szCs w:val="23"/>
        </w:rPr>
        <w:t>.</w:t>
      </w:r>
    </w:p>
    <w:p w14:paraId="5B0DD7E5" w14:textId="77777777" w:rsidR="000C39DD" w:rsidRDefault="000C39DD" w:rsidP="00A3544F">
      <w:pPr>
        <w:pStyle w:val="Akapitzlist"/>
        <w:suppressAutoHyphens/>
        <w:spacing w:before="120" w:after="120" w:line="240" w:lineRule="auto"/>
        <w:ind w:left="725"/>
        <w:jc w:val="left"/>
        <w:rPr>
          <w:rFonts w:ascii="Calibri Light" w:hAnsi="Calibri Light"/>
          <w:szCs w:val="23"/>
        </w:rPr>
      </w:pPr>
    </w:p>
    <w:p w14:paraId="3D204BF3" w14:textId="77777777" w:rsidR="00FC1039" w:rsidRPr="003D2604" w:rsidRDefault="00FC1039" w:rsidP="00440574">
      <w:pPr>
        <w:pStyle w:val="Akapitzlist"/>
        <w:spacing w:after="200" w:line="276" w:lineRule="auto"/>
        <w:ind w:left="357"/>
        <w:contextualSpacing w:val="0"/>
        <w:jc w:val="left"/>
        <w:rPr>
          <w:rFonts w:ascii="Calibri Light" w:hAnsi="Calibri Light"/>
          <w:szCs w:val="23"/>
        </w:rPr>
      </w:pPr>
      <w:r w:rsidRPr="003D2604">
        <w:rPr>
          <w:rFonts w:ascii="Calibri Light" w:hAnsi="Calibri Light"/>
          <w:szCs w:val="23"/>
        </w:rPr>
        <w:t xml:space="preserve">Na miesięczną opłatę za </w:t>
      </w:r>
      <w:r>
        <w:rPr>
          <w:rFonts w:ascii="Calibri Light" w:hAnsi="Calibri Light"/>
          <w:szCs w:val="23"/>
        </w:rPr>
        <w:t>U</w:t>
      </w:r>
      <w:r w:rsidRPr="003D2604">
        <w:rPr>
          <w:rFonts w:ascii="Calibri Light" w:hAnsi="Calibri Light"/>
          <w:szCs w:val="23"/>
        </w:rPr>
        <w:t xml:space="preserve">sługi hurtowe </w:t>
      </w: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H</m:t>
            </m:r>
          </m:sub>
        </m:sSub>
      </m:oMath>
      <w:r>
        <w:rPr>
          <w:rFonts w:ascii="Calibri Light" w:hAnsi="Calibri Light"/>
          <w:szCs w:val="23"/>
        </w:rPr>
        <w:t xml:space="preserve">, dla dostępu na poziomie BSA </w:t>
      </w:r>
      <w:r w:rsidR="008D4B13">
        <w:rPr>
          <w:rFonts w:ascii="Calibri Light" w:hAnsi="Calibri Light"/>
          <w:szCs w:val="23"/>
        </w:rPr>
        <w:t xml:space="preserve">IP niezarządzany </w:t>
      </w:r>
      <w:r w:rsidRPr="003D2604">
        <w:rPr>
          <w:rFonts w:ascii="Calibri Light" w:hAnsi="Calibri Light"/>
          <w:szCs w:val="23"/>
        </w:rPr>
        <w:t>składają się następujące pozycje:</w:t>
      </w:r>
    </w:p>
    <w:p w14:paraId="1B0E885D" w14:textId="77777777" w:rsidR="00FC1039" w:rsidRPr="00440574" w:rsidRDefault="00FC1039" w:rsidP="00DF6FC7">
      <w:pPr>
        <w:pStyle w:val="Akapitzlist"/>
        <w:numPr>
          <w:ilvl w:val="0"/>
          <w:numId w:val="31"/>
        </w:numPr>
        <w:spacing w:before="120" w:after="120" w:line="240" w:lineRule="auto"/>
        <w:jc w:val="left"/>
        <w:rPr>
          <w:rFonts w:ascii="Calibri Light" w:hAnsi="Calibri Light"/>
          <w:szCs w:val="23"/>
        </w:rPr>
      </w:pPr>
      <w:r w:rsidRPr="00440574">
        <w:rPr>
          <w:rFonts w:ascii="Calibri Light" w:hAnsi="Calibri Light"/>
          <w:szCs w:val="23"/>
        </w:rPr>
        <w:t>suma miesięcznych opłat, w tym:</w:t>
      </w:r>
    </w:p>
    <w:p w14:paraId="17921E85" w14:textId="324EA9D8" w:rsidR="00FC1039" w:rsidRDefault="00FC1039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</w:pPr>
      <w:r>
        <w:rPr>
          <w:rFonts w:ascii="Calibri Light" w:hAnsi="Calibri Light"/>
          <w:szCs w:val="23"/>
        </w:rPr>
        <w:t>opłaty miesięczne BSA dla opcji prędkości i poziomu dostępu wraz z opłatą</w:t>
      </w:r>
      <w:r>
        <w:t xml:space="preserve"> miesięczną za utrzymanie łącza abonenckiego dla usługi BSA z ONT lub bez ONT w zabudowie jednorodzinnej lub wielorodzinnej,</w:t>
      </w:r>
    </w:p>
    <w:p w14:paraId="5BA999C6" w14:textId="77777777" w:rsidR="00FC1039" w:rsidRDefault="00FC1039" w:rsidP="00DF6FC7">
      <w:pPr>
        <w:pStyle w:val="Akapitzlist"/>
        <w:numPr>
          <w:ilvl w:val="1"/>
          <w:numId w:val="20"/>
        </w:numPr>
        <w:spacing w:before="120" w:after="120" w:line="240" w:lineRule="auto"/>
      </w:pPr>
      <w:r w:rsidRPr="00AF4616">
        <w:t>opłaty jednorazowe za uruchomienie i konfiguracje</w:t>
      </w:r>
      <w:r>
        <w:t>, w tym:</w:t>
      </w:r>
    </w:p>
    <w:p w14:paraId="147D2962" w14:textId="77777777" w:rsidR="00FC1039" w:rsidRDefault="00FC1039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uruchomienie usługi BSA,</w:t>
      </w:r>
    </w:p>
    <w:p w14:paraId="20A95006" w14:textId="77777777" w:rsidR="00FC1039" w:rsidRPr="00DF6FC7" w:rsidRDefault="00FC1039" w:rsidP="00DF6FC7">
      <w:pPr>
        <w:pStyle w:val="Akapitzlist"/>
        <w:numPr>
          <w:ilvl w:val="2"/>
          <w:numId w:val="20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dezaktywację usługi</w:t>
      </w:r>
      <w:r w:rsidR="008D4B13">
        <w:rPr>
          <w:rFonts w:ascii="Calibri Light" w:hAnsi="Calibri Light"/>
          <w:szCs w:val="23"/>
        </w:rPr>
        <w:t>.</w:t>
      </w:r>
    </w:p>
    <w:p w14:paraId="1A6FAB3B" w14:textId="77777777" w:rsidR="008B18A1" w:rsidRDefault="008B18A1" w:rsidP="00544480">
      <w:pPr>
        <w:pStyle w:val="Akapitzlist"/>
        <w:numPr>
          <w:ilvl w:val="0"/>
          <w:numId w:val="20"/>
        </w:numPr>
        <w:suppressAutoHyphens/>
        <w:spacing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</w:t>
      </w:r>
      <w:r w:rsidRPr="00AF4616">
        <w:rPr>
          <w:rFonts w:ascii="Calibri Light" w:hAnsi="Calibri Light"/>
          <w:szCs w:val="23"/>
        </w:rPr>
        <w:t xml:space="preserve">płatę za </w:t>
      </w:r>
      <w:r w:rsidR="007C2C05">
        <w:rPr>
          <w:rFonts w:ascii="Calibri Light" w:hAnsi="Calibri Light"/>
          <w:szCs w:val="23"/>
        </w:rPr>
        <w:t>U</w:t>
      </w:r>
      <w:r w:rsidR="007C2C05" w:rsidRPr="00AF4616">
        <w:rPr>
          <w:rFonts w:ascii="Calibri Light" w:hAnsi="Calibri Light"/>
          <w:szCs w:val="23"/>
        </w:rPr>
        <w:t xml:space="preserve">sługi </w:t>
      </w:r>
      <w:r w:rsidRPr="00AF4616">
        <w:rPr>
          <w:rFonts w:ascii="Calibri Light" w:hAnsi="Calibri Light"/>
          <w:szCs w:val="23"/>
        </w:rPr>
        <w:t xml:space="preserve">hurtowe </w:t>
      </w: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H</m:t>
            </m:r>
          </m:sub>
        </m:sSub>
      </m:oMath>
      <w:r>
        <w:rPr>
          <w:rFonts w:ascii="Calibri Light" w:hAnsi="Calibri Light"/>
          <w:szCs w:val="23"/>
        </w:rPr>
        <w:t>, dla dostępu BSA</w:t>
      </w:r>
      <w:r w:rsidR="004723EA">
        <w:rPr>
          <w:rFonts w:ascii="Calibri Light" w:hAnsi="Calibri Light"/>
          <w:szCs w:val="23"/>
        </w:rPr>
        <w:t xml:space="preserve"> Ethernet</w:t>
      </w:r>
      <w:r>
        <w:rPr>
          <w:rFonts w:ascii="Calibri Light" w:hAnsi="Calibri Light"/>
          <w:szCs w:val="23"/>
        </w:rPr>
        <w:t xml:space="preserve"> wyznacza się jako:</w:t>
      </w:r>
    </w:p>
    <w:p w14:paraId="4908C0FD" w14:textId="77777777" w:rsidR="00AC7A3C" w:rsidRPr="005D7FF6" w:rsidRDefault="00AC7A3C" w:rsidP="00AC7A3C">
      <w:pPr>
        <w:pStyle w:val="Akapitzlist"/>
        <w:suppressAutoHyphens/>
        <w:spacing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</w:p>
    <w:p w14:paraId="6FE0797B" w14:textId="77777777" w:rsidR="008B18A1" w:rsidRPr="005D7FF6" w:rsidRDefault="0050005F" w:rsidP="008B18A1">
      <w:pPr>
        <w:suppressAutoHyphens/>
        <w:spacing w:after="0" w:line="240" w:lineRule="auto"/>
        <w:rPr>
          <w:rFonts w:ascii="Calibri Light" w:hAnsi="Calibri Light"/>
          <w:szCs w:val="23"/>
        </w:rPr>
      </w:pPr>
      <m:oMathPara>
        <m:oMath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H</m:t>
              </m:r>
            </m:sub>
          </m:sSub>
          <m:r>
            <w:rPr>
              <w:rFonts w:ascii="Cambria Math" w:hAnsi="Calibri Light"/>
              <w:sz w:val="14"/>
              <w:szCs w:val="23"/>
            </w:rPr>
            <m:t>=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BSA</m:t>
              </m:r>
            </m:sub>
          </m:sSub>
          <m:r>
            <w:rPr>
              <w:rFonts w:ascii="Cambria Math" w:hAnsi="Calibri Light"/>
              <w:szCs w:val="23"/>
            </w:rPr>
            <m:t>+</m:t>
          </m:r>
          <m:f>
            <m:fPr>
              <m:ctrlPr>
                <w:rPr>
                  <w:rFonts w:ascii="Cambria Math" w:hAnsi="Calibri Light"/>
                  <w:sz w:val="14"/>
                  <w:szCs w:val="23"/>
                </w:rPr>
              </m:ctrlPr>
            </m:fPr>
            <m:num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GE</m:t>
                  </m:r>
                </m:sub>
              </m:sSub>
              <m:r>
                <w:rPr>
                  <w:rFonts w:ascii="Cambria Math" w:hAnsi="Calibri Light"/>
                  <w:szCs w:val="23"/>
                </w:rPr>
                <m:t>+</m:t>
              </m:r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libri Light"/>
                  <w:sz w:val="14"/>
                  <w:szCs w:val="23"/>
                </w:rPr>
                <m:t>liczba abonent</m:t>
              </m:r>
              <m:r>
                <w:rPr>
                  <w:rFonts w:ascii="Cambria Math" w:hAnsi="Calibri Light"/>
                  <w:sz w:val="14"/>
                  <w:szCs w:val="23"/>
                </w:rPr>
                <m:t>ó</m:t>
              </m:r>
              <m:r>
                <w:rPr>
                  <w:rFonts w:ascii="Cambria Math" w:hAnsi="Calibri Light"/>
                  <w:sz w:val="14"/>
                  <w:szCs w:val="23"/>
                </w:rPr>
                <m:t>w na port</m:t>
              </m:r>
            </m:den>
          </m:f>
          <m:r>
            <w:rPr>
              <w:rFonts w:ascii="Cambria Math" w:hAnsi="Calibri Light"/>
              <w:sz w:val="14"/>
              <w:szCs w:val="23"/>
            </w:rPr>
            <m:t>+</m:t>
          </m:r>
          <m:f>
            <m:fPr>
              <m:ctrlPr>
                <w:rPr>
                  <w:rFonts w:ascii="Cambria Math" w:hAnsi="Calibri Light"/>
                  <w:sz w:val="14"/>
                  <w:szCs w:val="23"/>
                </w:rPr>
              </m:ctrlPr>
            </m:fPr>
            <m:num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BSA</m:t>
                  </m:r>
                </m:sub>
              </m:sSub>
              <m:r>
                <w:rPr>
                  <w:rFonts w:ascii="Cambria Math" w:hAnsi="Calibri Light"/>
                  <w:sz w:val="14"/>
                  <w:szCs w:val="23"/>
                </w:rPr>
                <m:t xml:space="preserve">+ </m:t>
              </m:r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BSA</m:t>
                  </m:r>
                </m:sub>
              </m:sSub>
              <m:r>
                <w:rPr>
                  <w:rFonts w:ascii="Cambria Math" w:hAnsi="Cambria Math"/>
                  <w:sz w:val="14"/>
                  <w:szCs w:val="23"/>
                </w:rPr>
                <m:t>+</m:t>
              </m:r>
              <m:f>
                <m:fPr>
                  <m:ctrlPr>
                    <w:rPr>
                      <w:rFonts w:ascii="Cambria Math" w:hAnsi="Calibri Light"/>
                      <w:sz w:val="14"/>
                      <w:szCs w:val="23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libri Light"/>
                          <w:szCs w:val="23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3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libri Light"/>
                          <w:szCs w:val="23"/>
                        </w:rPr>
                        <m:t>GE</m:t>
                      </m:r>
                    </m:sub>
                  </m:sSub>
                </m:num>
                <m:den>
                  <m:r>
                    <w:rPr>
                      <w:rFonts w:ascii="Cambria Math" w:hAnsi="Calibri Light"/>
                      <w:sz w:val="14"/>
                      <w:szCs w:val="23"/>
                    </w:rPr>
                    <m:t>liczba abonent</m:t>
                  </m:r>
                  <m:r>
                    <w:rPr>
                      <w:rFonts w:ascii="Cambria Math" w:hAnsi="Calibri Light"/>
                      <w:sz w:val="14"/>
                      <w:szCs w:val="23"/>
                    </w:rPr>
                    <m:t>ó</m:t>
                  </m:r>
                  <m:r>
                    <w:rPr>
                      <w:rFonts w:ascii="Cambria Math" w:hAnsi="Calibri Light"/>
                      <w:sz w:val="14"/>
                      <w:szCs w:val="23"/>
                    </w:rPr>
                    <m:t>w na port</m:t>
                  </m:r>
                </m:den>
              </m:f>
            </m:num>
            <m:den>
              <m:r>
                <w:rPr>
                  <w:rFonts w:ascii="Cambria Math" w:hAnsi="Calibri Light"/>
                  <w:sz w:val="14"/>
                  <w:szCs w:val="23"/>
                </w:rPr>
                <m:t>czas "</m:t>
              </m:r>
              <m:r>
                <w:rPr>
                  <w:rFonts w:ascii="Cambria Math" w:hAnsi="Calibri Light"/>
                  <w:sz w:val="14"/>
                  <w:szCs w:val="23"/>
                </w:rPr>
                <m:t>ż</m:t>
              </m:r>
              <m:r>
                <w:rPr>
                  <w:rFonts w:ascii="Cambria Math" w:hAnsi="Calibri Light"/>
                  <w:sz w:val="14"/>
                  <w:szCs w:val="23"/>
                </w:rPr>
                <m:t>ycia" Abonenta</m:t>
              </m:r>
            </m:den>
          </m:f>
        </m:oMath>
      </m:oMathPara>
    </w:p>
    <w:p w14:paraId="11A16025" w14:textId="77777777" w:rsidR="00AC7A3C" w:rsidRDefault="00AC7A3C" w:rsidP="00AC7A3C">
      <w:pPr>
        <w:pStyle w:val="Akapitzlist"/>
        <w:ind w:left="360"/>
        <w:jc w:val="left"/>
        <w:rPr>
          <w:rFonts w:ascii="Calibri Light" w:hAnsi="Calibri Light"/>
          <w:szCs w:val="23"/>
        </w:rPr>
      </w:pPr>
    </w:p>
    <w:p w14:paraId="76F213AD" w14:textId="77777777" w:rsidR="008B18A1" w:rsidRPr="003E1F9F" w:rsidRDefault="00AC7A3C" w:rsidP="00AC7A3C">
      <w:pPr>
        <w:pStyle w:val="Akapitzlist"/>
        <w:ind w:left="36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Gdzie:</w:t>
      </w:r>
    </w:p>
    <w:p w14:paraId="3FE9C271" w14:textId="77777777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 xml:space="preserve">H </m:t>
            </m:r>
          </m:sub>
        </m:sSub>
      </m:oMath>
      <w:r w:rsidR="008B18A1" w:rsidRPr="00AF4616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 xml:space="preserve">- </w:t>
      </w:r>
      <w:r w:rsidR="008B18A1" w:rsidRPr="00AF4616">
        <w:rPr>
          <w:rFonts w:ascii="Calibri Light" w:hAnsi="Calibri Light"/>
          <w:szCs w:val="23"/>
        </w:rPr>
        <w:t>suma opłat</w:t>
      </w:r>
      <w:r w:rsidR="008B18A1">
        <w:rPr>
          <w:rFonts w:ascii="Calibri Light" w:hAnsi="Calibri Light"/>
          <w:szCs w:val="23"/>
        </w:rPr>
        <w:t xml:space="preserve"> za </w:t>
      </w:r>
      <w:r w:rsidR="007C2C05">
        <w:rPr>
          <w:rFonts w:ascii="Calibri Light" w:hAnsi="Calibri Light"/>
          <w:szCs w:val="23"/>
        </w:rPr>
        <w:t xml:space="preserve">Usługę </w:t>
      </w:r>
      <w:r w:rsidR="008B18A1">
        <w:rPr>
          <w:rFonts w:ascii="Calibri Light" w:hAnsi="Calibri Light"/>
          <w:szCs w:val="23"/>
        </w:rPr>
        <w:t>hurtową dla opcji prędkości,</w:t>
      </w:r>
    </w:p>
    <w:p w14:paraId="05D546CA" w14:textId="58B44483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libri Light"/>
                <w:szCs w:val="23"/>
              </w:rPr>
              <m:t>BSA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– </w:t>
      </w:r>
      <w:r w:rsidR="00367535">
        <w:rPr>
          <w:rFonts w:ascii="Calibri Light" w:hAnsi="Calibri Light"/>
          <w:szCs w:val="23"/>
        </w:rPr>
        <w:t xml:space="preserve">opłaty </w:t>
      </w:r>
      <w:r w:rsidR="00FC01DF">
        <w:rPr>
          <w:rFonts w:ascii="Calibri Light" w:hAnsi="Calibri Light"/>
          <w:szCs w:val="23"/>
        </w:rPr>
        <w:t xml:space="preserve">miesięczne BSA dla opcji prędkości i poziomu dostępu wraz z opłatą </w:t>
      </w:r>
      <w:r w:rsidR="00FC01DF">
        <w:t>miesięczną za utrzymanie łącza abonenckiego dla usługi BSA z ONT lub bez ONT w zabudowie jednorodzinnej lub wielorodzinnej</w:t>
      </w:r>
      <w:r w:rsidR="008B18A1">
        <w:rPr>
          <w:rFonts w:ascii="Calibri Light" w:hAnsi="Calibri Light"/>
          <w:szCs w:val="23"/>
        </w:rPr>
        <w:t>,</w:t>
      </w:r>
    </w:p>
    <w:p w14:paraId="62096FC6" w14:textId="77777777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GE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</w:t>
      </w:r>
      <w:r w:rsidR="00FC01DF">
        <w:rPr>
          <w:rFonts w:ascii="Calibri Light" w:hAnsi="Calibri Light"/>
          <w:szCs w:val="23"/>
        </w:rPr>
        <w:t>–</w:t>
      </w:r>
      <w:r w:rsidR="008B18A1" w:rsidRPr="00437D72">
        <w:rPr>
          <w:rFonts w:ascii="Calibri Light" w:hAnsi="Calibri Light"/>
          <w:szCs w:val="23"/>
        </w:rPr>
        <w:t xml:space="preserve"> </w:t>
      </w:r>
      <w:r w:rsidR="00FC01DF">
        <w:rPr>
          <w:rFonts w:ascii="Calibri Light" w:hAnsi="Calibri Light"/>
          <w:szCs w:val="23"/>
        </w:rPr>
        <w:t xml:space="preserve">średnia </w:t>
      </w:r>
      <w:r w:rsidR="008B18A1" w:rsidRPr="00437D72">
        <w:rPr>
          <w:rFonts w:ascii="Calibri Light" w:hAnsi="Calibri Light"/>
          <w:szCs w:val="23"/>
        </w:rPr>
        <w:t>o</w:t>
      </w:r>
      <w:r w:rsidR="008B18A1">
        <w:rPr>
          <w:rFonts w:ascii="Calibri Light" w:hAnsi="Calibri Light"/>
          <w:szCs w:val="23"/>
        </w:rPr>
        <w:t>płata</w:t>
      </w:r>
      <w:r w:rsidR="008B18A1" w:rsidRPr="00437D72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 xml:space="preserve">miesięczna </w:t>
      </w:r>
      <w:r w:rsidR="008B18A1" w:rsidRPr="00437D72">
        <w:rPr>
          <w:rFonts w:ascii="Calibri Light" w:hAnsi="Calibri Light"/>
          <w:szCs w:val="23"/>
        </w:rPr>
        <w:t xml:space="preserve">za utrzymanie portu </w:t>
      </w:r>
      <w:r w:rsidR="00FC01DF">
        <w:rPr>
          <w:rFonts w:ascii="Calibri Light" w:hAnsi="Calibri Light"/>
          <w:szCs w:val="23"/>
        </w:rPr>
        <w:t xml:space="preserve">1GE, </w:t>
      </w:r>
      <w:r w:rsidR="008B18A1" w:rsidRPr="00437D72">
        <w:rPr>
          <w:rFonts w:ascii="Calibri Light" w:hAnsi="Calibri Light"/>
          <w:szCs w:val="23"/>
        </w:rPr>
        <w:t>10GE</w:t>
      </w:r>
      <w:r w:rsidR="00FC01DF">
        <w:rPr>
          <w:rFonts w:ascii="Calibri Light" w:hAnsi="Calibri Light"/>
          <w:szCs w:val="23"/>
        </w:rPr>
        <w:t xml:space="preserve">, 100GE </w:t>
      </w:r>
      <w:r w:rsidR="008B18A1" w:rsidRPr="00437D72">
        <w:rPr>
          <w:rFonts w:ascii="Calibri Light" w:hAnsi="Calibri Light"/>
          <w:szCs w:val="23"/>
        </w:rPr>
        <w:t xml:space="preserve">na poziomie </w:t>
      </w:r>
      <w:r w:rsidR="008B18A1">
        <w:rPr>
          <w:rFonts w:ascii="Calibri Light" w:hAnsi="Calibri Light"/>
          <w:szCs w:val="23"/>
        </w:rPr>
        <w:t>Ethernet (opłata nieuwzględniana dla poziomu IP niezarządzany)</w:t>
      </w:r>
      <w:r w:rsidR="008B18A1" w:rsidRPr="00437D72">
        <w:rPr>
          <w:rFonts w:ascii="Calibri Light" w:hAnsi="Calibri Light"/>
          <w:szCs w:val="23"/>
        </w:rPr>
        <w:t>,</w:t>
      </w:r>
    </w:p>
    <w:p w14:paraId="1F11E835" w14:textId="77777777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K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- średnia </w:t>
      </w:r>
      <w:r w:rsidR="008B18A1">
        <w:rPr>
          <w:rFonts w:ascii="Calibri Light" w:hAnsi="Calibri Light"/>
          <w:szCs w:val="23"/>
        </w:rPr>
        <w:t xml:space="preserve">miesięczna </w:t>
      </w:r>
      <w:r w:rsidR="008B18A1" w:rsidRPr="00437D72">
        <w:rPr>
          <w:rFonts w:ascii="Calibri Light" w:hAnsi="Calibri Light"/>
          <w:szCs w:val="23"/>
        </w:rPr>
        <w:t>opłata</w:t>
      </w:r>
      <w:r w:rsidR="008B18A1">
        <w:rPr>
          <w:rFonts w:ascii="Calibri Light" w:hAnsi="Calibri Light"/>
          <w:szCs w:val="23"/>
        </w:rPr>
        <w:t xml:space="preserve"> hurtowa</w:t>
      </w:r>
      <w:r w:rsidR="008B18A1" w:rsidRPr="00437D72">
        <w:rPr>
          <w:rFonts w:ascii="Calibri Light" w:hAnsi="Calibri Light"/>
          <w:szCs w:val="23"/>
        </w:rPr>
        <w:t xml:space="preserve"> za kolokacje w węźle </w:t>
      </w:r>
      <w:r w:rsidR="008B18A1">
        <w:rPr>
          <w:rFonts w:ascii="Calibri Light" w:hAnsi="Calibri Light"/>
          <w:szCs w:val="23"/>
        </w:rPr>
        <w:t>Ethernet (opłata nieuwzględniana dla poziomu IP niezarządzany)</w:t>
      </w:r>
      <w:r w:rsidR="008B18A1" w:rsidRPr="00437D72">
        <w:rPr>
          <w:rFonts w:ascii="Calibri Light" w:hAnsi="Calibri Light"/>
          <w:szCs w:val="23"/>
        </w:rPr>
        <w:t>,</w:t>
      </w:r>
    </w:p>
    <w:p w14:paraId="0D05F49A" w14:textId="77777777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J</m:t>
            </m:r>
          </m:e>
          <m:sub>
            <m:r>
              <w:rPr>
                <w:rFonts w:ascii="Cambria Math" w:hAnsi="Cambria Math"/>
                <w:szCs w:val="23"/>
              </w:rPr>
              <m:t>BSA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–</w:t>
      </w:r>
      <w:r w:rsidR="008B18A1" w:rsidRPr="00550CD0">
        <w:rPr>
          <w:rFonts w:ascii="Calibri Light" w:hAnsi="Calibri Light"/>
          <w:szCs w:val="23"/>
        </w:rPr>
        <w:t xml:space="preserve"> </w:t>
      </w:r>
      <w:r w:rsidR="008B18A1" w:rsidRPr="00437D72">
        <w:rPr>
          <w:rFonts w:ascii="Calibri Light" w:hAnsi="Calibri Light"/>
          <w:szCs w:val="23"/>
        </w:rPr>
        <w:t>o</w:t>
      </w:r>
      <w:r w:rsidR="008B18A1">
        <w:rPr>
          <w:rFonts w:ascii="Calibri Light" w:hAnsi="Calibri Light"/>
          <w:szCs w:val="23"/>
        </w:rPr>
        <w:t>płata</w:t>
      </w:r>
      <w:r w:rsidR="008B18A1" w:rsidRPr="00437D72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>jednorazowa za</w:t>
      </w:r>
      <w:r w:rsidR="008B18A1" w:rsidRPr="00437D72">
        <w:rPr>
          <w:rFonts w:ascii="Calibri Light" w:hAnsi="Calibri Light"/>
          <w:szCs w:val="23"/>
        </w:rPr>
        <w:t xml:space="preserve"> urucho</w:t>
      </w:r>
      <w:r w:rsidR="008B18A1">
        <w:rPr>
          <w:rFonts w:ascii="Calibri Light" w:hAnsi="Calibri Light"/>
          <w:szCs w:val="23"/>
        </w:rPr>
        <w:t>mienie usługi BSA</w:t>
      </w:r>
      <w:r w:rsidR="008B18A1" w:rsidRPr="00437D72">
        <w:rPr>
          <w:rFonts w:ascii="Calibri Light" w:hAnsi="Calibri Light"/>
          <w:szCs w:val="23"/>
        </w:rPr>
        <w:t>,</w:t>
      </w:r>
    </w:p>
    <w:p w14:paraId="38856607" w14:textId="77777777" w:rsidR="008B18A1" w:rsidRDefault="0050005F" w:rsidP="00DF6FC7">
      <w:pPr>
        <w:pStyle w:val="Akapitzlist"/>
        <w:spacing w:before="120"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D</m:t>
            </m:r>
          </m:e>
          <m:sub>
            <m:r>
              <w:rPr>
                <w:rFonts w:ascii="Cambria Math" w:hAnsi="Cambria Math"/>
                <w:szCs w:val="23"/>
              </w:rPr>
              <m:t>BSA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>–</w:t>
      </w:r>
      <w:r w:rsidR="008B18A1" w:rsidRPr="00437D72">
        <w:rPr>
          <w:rFonts w:ascii="Calibri Light" w:hAnsi="Calibri Light"/>
          <w:szCs w:val="23"/>
        </w:rPr>
        <w:t xml:space="preserve"> o</w:t>
      </w:r>
      <w:r w:rsidR="008B18A1">
        <w:rPr>
          <w:rFonts w:ascii="Calibri Light" w:hAnsi="Calibri Light"/>
          <w:szCs w:val="23"/>
        </w:rPr>
        <w:t>płata</w:t>
      </w:r>
      <w:r w:rsidR="008B18A1" w:rsidRPr="00437D72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>jednorazowa za</w:t>
      </w:r>
      <w:r w:rsidR="008B18A1" w:rsidRPr="00437D72">
        <w:rPr>
          <w:rFonts w:ascii="Calibri Light" w:hAnsi="Calibri Light"/>
          <w:szCs w:val="23"/>
        </w:rPr>
        <w:t xml:space="preserve"> </w:t>
      </w:r>
      <w:r w:rsidR="00AE13D8">
        <w:rPr>
          <w:rFonts w:ascii="Calibri Light" w:hAnsi="Calibri Light"/>
          <w:szCs w:val="23"/>
        </w:rPr>
        <w:t>dezaktywację</w:t>
      </w:r>
      <w:r w:rsidR="008B18A1">
        <w:rPr>
          <w:rFonts w:ascii="Calibri Light" w:hAnsi="Calibri Light"/>
          <w:szCs w:val="23"/>
        </w:rPr>
        <w:t xml:space="preserve"> usługi BSA,</w:t>
      </w:r>
    </w:p>
    <w:p w14:paraId="70A7E937" w14:textId="77777777" w:rsidR="00FC1039" w:rsidRPr="00440574" w:rsidRDefault="0050005F" w:rsidP="00DF6FC7">
      <w:pPr>
        <w:pStyle w:val="Akapitzlist"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libri Light"/>
                <w:szCs w:val="23"/>
              </w:rPr>
              <m:t>J</m:t>
            </m:r>
          </m:e>
          <m:sub>
            <m:r>
              <w:rPr>
                <w:rFonts w:ascii="Cambria Math" w:hAnsi="Cambria Math"/>
                <w:szCs w:val="23"/>
              </w:rPr>
              <m:t>GE</m:t>
            </m:r>
          </m:sub>
        </m:sSub>
      </m:oMath>
      <w:r w:rsidR="008B18A1" w:rsidRPr="00437D72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 xml:space="preserve">– </w:t>
      </w:r>
      <w:r w:rsidR="00FC01DF">
        <w:rPr>
          <w:rFonts w:ascii="Calibri Light" w:hAnsi="Calibri Light"/>
          <w:szCs w:val="23"/>
        </w:rPr>
        <w:t xml:space="preserve">średnia </w:t>
      </w:r>
      <w:r w:rsidR="008B18A1">
        <w:rPr>
          <w:rFonts w:ascii="Calibri Light" w:hAnsi="Calibri Light"/>
          <w:szCs w:val="23"/>
        </w:rPr>
        <w:t>opłata jednorazowa za uruchomienie portu</w:t>
      </w:r>
      <w:r w:rsidR="00FC01DF">
        <w:rPr>
          <w:rFonts w:ascii="Calibri Light" w:hAnsi="Calibri Light"/>
          <w:szCs w:val="23"/>
        </w:rPr>
        <w:t xml:space="preserve"> 1GE,</w:t>
      </w:r>
      <w:r w:rsidR="008B18A1">
        <w:rPr>
          <w:rFonts w:ascii="Calibri Light" w:hAnsi="Calibri Light"/>
          <w:szCs w:val="23"/>
        </w:rPr>
        <w:t xml:space="preserve"> 10GE</w:t>
      </w:r>
      <w:r w:rsidR="00FC01DF">
        <w:rPr>
          <w:rFonts w:ascii="Calibri Light" w:hAnsi="Calibri Light"/>
          <w:szCs w:val="23"/>
        </w:rPr>
        <w:t>, 100GE</w:t>
      </w:r>
      <w:r w:rsidR="008B18A1">
        <w:rPr>
          <w:rFonts w:ascii="Calibri Light" w:hAnsi="Calibri Light"/>
          <w:szCs w:val="23"/>
        </w:rPr>
        <w:t xml:space="preserve"> na poziomie </w:t>
      </w:r>
      <w:r w:rsidR="0035479E">
        <w:rPr>
          <w:rFonts w:ascii="Calibri Light" w:hAnsi="Calibri Light"/>
          <w:szCs w:val="23"/>
        </w:rPr>
        <w:t>Ethernet</w:t>
      </w:r>
      <w:r w:rsidR="008B18A1">
        <w:rPr>
          <w:rFonts w:ascii="Calibri Light" w:hAnsi="Calibri Light"/>
          <w:szCs w:val="23"/>
        </w:rPr>
        <w:t xml:space="preserve"> (opłata nieuwzględniana dla poziomu IP niezarządzany).</w:t>
      </w:r>
    </w:p>
    <w:p w14:paraId="74AAD88A" w14:textId="77777777" w:rsidR="008B18A1" w:rsidRPr="00550CD0" w:rsidRDefault="000279FD" w:rsidP="00440574">
      <w:pPr>
        <w:pStyle w:val="Akapitzlist"/>
        <w:spacing w:after="200" w:line="276" w:lineRule="auto"/>
        <w:ind w:left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L</w:t>
      </w:r>
      <w:r w:rsidR="008B18A1" w:rsidRPr="00550CD0">
        <w:rPr>
          <w:rFonts w:ascii="Calibri Light" w:hAnsi="Calibri Light"/>
          <w:szCs w:val="23"/>
        </w:rPr>
        <w:t>icz</w:t>
      </w:r>
      <w:r w:rsidR="008B18A1">
        <w:rPr>
          <w:rFonts w:ascii="Calibri Light" w:hAnsi="Calibri Light"/>
          <w:szCs w:val="23"/>
        </w:rPr>
        <w:t>b</w:t>
      </w:r>
      <w:r w:rsidR="008B18A1" w:rsidRPr="00550CD0">
        <w:rPr>
          <w:rFonts w:ascii="Calibri Light" w:hAnsi="Calibri Light"/>
          <w:szCs w:val="23"/>
        </w:rPr>
        <w:t xml:space="preserve">a abonentów </w:t>
      </w:r>
      <w:r>
        <w:rPr>
          <w:rFonts w:ascii="Calibri Light" w:hAnsi="Calibri Light"/>
          <w:szCs w:val="23"/>
        </w:rPr>
        <w:t xml:space="preserve">przypadająca </w:t>
      </w:r>
      <w:r w:rsidR="008B18A1" w:rsidRPr="00550CD0">
        <w:rPr>
          <w:rFonts w:ascii="Calibri Light" w:hAnsi="Calibri Light"/>
          <w:szCs w:val="23"/>
        </w:rPr>
        <w:t xml:space="preserve">na port </w:t>
      </w:r>
      <w:r w:rsidR="00FC01DF">
        <w:rPr>
          <w:rFonts w:ascii="Calibri Light" w:hAnsi="Calibri Light"/>
          <w:szCs w:val="23"/>
        </w:rPr>
        <w:t xml:space="preserve">1GE, </w:t>
      </w:r>
      <w:r w:rsidR="008B18A1" w:rsidRPr="00550CD0">
        <w:rPr>
          <w:rFonts w:ascii="Calibri Light" w:hAnsi="Calibri Light"/>
          <w:szCs w:val="23"/>
        </w:rPr>
        <w:t>10GE</w:t>
      </w:r>
      <w:r w:rsidR="00FC01DF">
        <w:rPr>
          <w:rFonts w:ascii="Calibri Light" w:hAnsi="Calibri Light"/>
          <w:szCs w:val="23"/>
        </w:rPr>
        <w:t>, 100 GE</w:t>
      </w:r>
      <w:r w:rsidR="008B18A1" w:rsidRPr="00550CD0">
        <w:rPr>
          <w:rFonts w:ascii="Calibri Light" w:hAnsi="Calibri Light"/>
          <w:szCs w:val="23"/>
        </w:rPr>
        <w:t xml:space="preserve"> na pozi</w:t>
      </w:r>
      <w:r w:rsidR="0035479E">
        <w:rPr>
          <w:rFonts w:ascii="Calibri Light" w:hAnsi="Calibri Light"/>
          <w:szCs w:val="23"/>
        </w:rPr>
        <w:t>omie</w:t>
      </w:r>
      <w:r w:rsidR="008B18A1" w:rsidRPr="00550CD0">
        <w:rPr>
          <w:rFonts w:ascii="Calibri Light" w:hAnsi="Calibri Light"/>
          <w:szCs w:val="23"/>
        </w:rPr>
        <w:t xml:space="preserve"> Ethernet powinna</w:t>
      </w:r>
      <w:r w:rsidR="008B18A1">
        <w:rPr>
          <w:rFonts w:ascii="Calibri Light" w:hAnsi="Calibri Light"/>
          <w:szCs w:val="23"/>
        </w:rPr>
        <w:t xml:space="preserve"> odzwierciedlać</w:t>
      </w:r>
      <w:r w:rsidR="00AF441D">
        <w:rPr>
          <w:rFonts w:ascii="Calibri Light" w:hAnsi="Calibri Light"/>
          <w:szCs w:val="23"/>
        </w:rPr>
        <w:t xml:space="preserve"> </w:t>
      </w:r>
      <w:r w:rsidR="00216178">
        <w:rPr>
          <w:rFonts w:ascii="Calibri Light" w:hAnsi="Calibri Light"/>
          <w:szCs w:val="23"/>
        </w:rPr>
        <w:t>m</w:t>
      </w:r>
      <w:r w:rsidR="00216178" w:rsidRPr="00216178">
        <w:rPr>
          <w:rFonts w:ascii="Calibri Light" w:hAnsi="Calibri Light"/>
          <w:szCs w:val="23"/>
        </w:rPr>
        <w:t>aksymalne dopuszczalne wykorzystanie</w:t>
      </w:r>
      <w:r w:rsidR="00216178">
        <w:rPr>
          <w:rFonts w:ascii="Calibri Light" w:hAnsi="Calibri Light"/>
          <w:szCs w:val="23"/>
        </w:rPr>
        <w:t xml:space="preserve"> portów (70%).</w:t>
      </w:r>
    </w:p>
    <w:p w14:paraId="5942262F" w14:textId="77777777" w:rsidR="004723EA" w:rsidRDefault="004723EA" w:rsidP="004723EA">
      <w:pPr>
        <w:pStyle w:val="Akapitzlist"/>
        <w:numPr>
          <w:ilvl w:val="0"/>
          <w:numId w:val="20"/>
        </w:numPr>
        <w:suppressAutoHyphens/>
        <w:spacing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O</w:t>
      </w:r>
      <w:r w:rsidRPr="00AF4616">
        <w:rPr>
          <w:rFonts w:ascii="Calibri Light" w:hAnsi="Calibri Light"/>
          <w:szCs w:val="23"/>
        </w:rPr>
        <w:t xml:space="preserve">płatę za </w:t>
      </w:r>
      <w:r>
        <w:rPr>
          <w:rFonts w:ascii="Calibri Light" w:hAnsi="Calibri Light"/>
          <w:szCs w:val="23"/>
        </w:rPr>
        <w:t>U</w:t>
      </w:r>
      <w:r w:rsidRPr="00AF4616">
        <w:rPr>
          <w:rFonts w:ascii="Calibri Light" w:hAnsi="Calibri Light"/>
          <w:szCs w:val="23"/>
        </w:rPr>
        <w:t xml:space="preserve">sługi hurtowe </w:t>
      </w: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H</m:t>
            </m:r>
          </m:sub>
        </m:sSub>
      </m:oMath>
      <w:r>
        <w:rPr>
          <w:rFonts w:ascii="Calibri Light" w:hAnsi="Calibri Light"/>
          <w:szCs w:val="23"/>
        </w:rPr>
        <w:t>, dla dostępu BSA IP niezarządzany wyznacza się jako:</w:t>
      </w:r>
    </w:p>
    <w:p w14:paraId="59BFC33F" w14:textId="77777777" w:rsidR="004723EA" w:rsidRPr="005D7FF6" w:rsidRDefault="004723EA" w:rsidP="004723EA">
      <w:pPr>
        <w:pStyle w:val="Akapitzlist"/>
        <w:suppressAutoHyphens/>
        <w:spacing w:after="12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</w:p>
    <w:p w14:paraId="2CB2307D" w14:textId="77777777" w:rsidR="004723EA" w:rsidRPr="005D7FF6" w:rsidRDefault="0050005F" w:rsidP="004723EA">
      <w:pPr>
        <w:suppressAutoHyphens/>
        <w:spacing w:after="0" w:line="240" w:lineRule="auto"/>
        <w:rPr>
          <w:rFonts w:ascii="Calibri Light" w:hAnsi="Calibri Light"/>
          <w:szCs w:val="23"/>
        </w:rPr>
      </w:pPr>
      <m:oMathPara>
        <m:oMath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H</m:t>
              </m:r>
            </m:sub>
          </m:sSub>
          <m:r>
            <w:rPr>
              <w:rFonts w:ascii="Cambria Math" w:hAnsi="Calibri Light"/>
              <w:sz w:val="14"/>
              <w:szCs w:val="23"/>
            </w:rPr>
            <m:t>=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BSA</m:t>
              </m:r>
            </m:sub>
          </m:sSub>
          <m:r>
            <w:rPr>
              <w:rFonts w:ascii="Cambria Math" w:hAnsi="Calibri Light"/>
              <w:szCs w:val="23"/>
            </w:rPr>
            <m:t>+</m:t>
          </m:r>
          <m:f>
            <m:fPr>
              <m:ctrlPr>
                <w:rPr>
                  <w:rFonts w:ascii="Cambria Math" w:hAnsi="Calibri Light"/>
                  <w:sz w:val="14"/>
                  <w:szCs w:val="23"/>
                </w:rPr>
              </m:ctrlPr>
            </m:fPr>
            <m:num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BSA</m:t>
                  </m:r>
                </m:sub>
              </m:sSub>
              <m:r>
                <w:rPr>
                  <w:rFonts w:ascii="Cambria Math" w:hAnsi="Calibri Light"/>
                  <w:sz w:val="14"/>
                  <w:szCs w:val="23"/>
                </w:rPr>
                <m:t xml:space="preserve">+ </m:t>
              </m:r>
              <m:sSub>
                <m:sSubPr>
                  <m:ctrlPr>
                    <w:rPr>
                      <w:rFonts w:ascii="Cambria Math" w:hAnsi="Calibri Light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3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3"/>
                    </w:rPr>
                    <m:t>BSA</m:t>
                  </m:r>
                </m:sub>
              </m:sSub>
            </m:num>
            <m:den>
              <m:r>
                <w:rPr>
                  <w:rFonts w:ascii="Cambria Math" w:hAnsi="Calibri Light"/>
                  <w:sz w:val="14"/>
                  <w:szCs w:val="23"/>
                </w:rPr>
                <m:t>czas "</m:t>
              </m:r>
              <m:r>
                <w:rPr>
                  <w:rFonts w:ascii="Cambria Math" w:hAnsi="Calibri Light"/>
                  <w:sz w:val="14"/>
                  <w:szCs w:val="23"/>
                </w:rPr>
                <m:t>ż</m:t>
              </m:r>
              <m:r>
                <w:rPr>
                  <w:rFonts w:ascii="Cambria Math" w:hAnsi="Calibri Light"/>
                  <w:sz w:val="14"/>
                  <w:szCs w:val="23"/>
                </w:rPr>
                <m:t>ycia" Abonenta</m:t>
              </m:r>
            </m:den>
          </m:f>
        </m:oMath>
      </m:oMathPara>
    </w:p>
    <w:p w14:paraId="4AFAF4C4" w14:textId="77777777" w:rsidR="004723EA" w:rsidRDefault="004723EA" w:rsidP="004723EA">
      <w:pPr>
        <w:pStyle w:val="Akapitzlist"/>
        <w:ind w:left="360"/>
        <w:jc w:val="left"/>
        <w:rPr>
          <w:rFonts w:ascii="Calibri Light" w:hAnsi="Calibri Light"/>
          <w:szCs w:val="23"/>
        </w:rPr>
      </w:pPr>
    </w:p>
    <w:p w14:paraId="188CD660" w14:textId="77777777" w:rsidR="004723EA" w:rsidRPr="003E1F9F" w:rsidRDefault="004723EA" w:rsidP="004723EA">
      <w:pPr>
        <w:pStyle w:val="Akapitzlist"/>
        <w:ind w:left="36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Gdzie:</w:t>
      </w:r>
    </w:p>
    <w:p w14:paraId="6E08EC2D" w14:textId="77777777" w:rsidR="004723EA" w:rsidRPr="00810F4F" w:rsidRDefault="0050005F" w:rsidP="00E321D2">
      <w:pPr>
        <w:pStyle w:val="Akapitzlist"/>
        <w:spacing w:before="120" w:after="120" w:line="240" w:lineRule="auto"/>
        <w:ind w:left="360"/>
        <w:contextualSpacing w:val="0"/>
        <w:jc w:val="left"/>
        <w:rPr>
          <w:szCs w:val="23"/>
        </w:rPr>
      </w:pPr>
      <m:oMath>
        <m:sSub>
          <m:sSubPr>
            <m:ctrlPr>
              <w:rPr>
                <w:rFonts w:ascii="Cambria Math" w:hAnsi="Cambria Math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 xml:space="preserve">H </m:t>
            </m:r>
          </m:sub>
        </m:sSub>
      </m:oMath>
      <w:r w:rsidR="004723EA" w:rsidRPr="00810F4F">
        <w:rPr>
          <w:szCs w:val="23"/>
        </w:rPr>
        <w:t xml:space="preserve"> - suma opłat za Usługę hurtową dla opcji prędkości,</w:t>
      </w:r>
    </w:p>
    <w:p w14:paraId="6759693D" w14:textId="3F42A822" w:rsidR="004723EA" w:rsidRPr="00810F4F" w:rsidRDefault="0050005F" w:rsidP="00E321D2">
      <w:pPr>
        <w:pStyle w:val="Akapitzlist"/>
        <w:spacing w:before="120" w:after="120" w:line="240" w:lineRule="auto"/>
        <w:ind w:left="360"/>
        <w:contextualSpacing w:val="0"/>
        <w:jc w:val="left"/>
        <w:rPr>
          <w:szCs w:val="23"/>
        </w:rPr>
      </w:pPr>
      <m:oMath>
        <m:sSub>
          <m:sSubPr>
            <m:ctrlPr>
              <w:rPr>
                <w:rFonts w:ascii="Cambria Math" w:hAnsi="Cambria Math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BSA</m:t>
            </m:r>
          </m:sub>
        </m:sSub>
      </m:oMath>
      <w:r w:rsidR="004723EA" w:rsidRPr="00810F4F">
        <w:rPr>
          <w:szCs w:val="23"/>
        </w:rPr>
        <w:t xml:space="preserve"> – </w:t>
      </w:r>
      <w:r w:rsidR="00367535" w:rsidRPr="00810F4F">
        <w:rPr>
          <w:szCs w:val="23"/>
        </w:rPr>
        <w:t>opłat</w:t>
      </w:r>
      <w:r w:rsidR="00367535">
        <w:rPr>
          <w:szCs w:val="23"/>
        </w:rPr>
        <w:t>y</w:t>
      </w:r>
      <w:r w:rsidR="00367535" w:rsidRPr="00810F4F">
        <w:rPr>
          <w:szCs w:val="23"/>
        </w:rPr>
        <w:t xml:space="preserve"> </w:t>
      </w:r>
      <w:r w:rsidR="004723EA" w:rsidRPr="00810F4F">
        <w:rPr>
          <w:szCs w:val="23"/>
        </w:rPr>
        <w:t>miesięczne BSA dla opcji prędkości i poziomu dostępu wraz z opłatą</w:t>
      </w:r>
      <w:r w:rsidR="004723EA" w:rsidRPr="00810F4F">
        <w:t xml:space="preserve"> miesięczną za utrzymanie łącza abonenckiego dla usługi BSA z ONT lub bez ONT w zabudowie jednorodzinnej lub wielorodzinnej</w:t>
      </w:r>
      <w:r w:rsidR="004723EA" w:rsidRPr="00810F4F">
        <w:rPr>
          <w:szCs w:val="23"/>
        </w:rPr>
        <w:t>,</w:t>
      </w:r>
    </w:p>
    <w:p w14:paraId="6C2742C4" w14:textId="77777777" w:rsidR="004723EA" w:rsidRPr="00810F4F" w:rsidRDefault="0050005F" w:rsidP="00E321D2">
      <w:pPr>
        <w:spacing w:before="120" w:after="120" w:line="240" w:lineRule="auto"/>
        <w:ind w:firstLine="340"/>
        <w:jc w:val="left"/>
        <w:rPr>
          <w:szCs w:val="23"/>
        </w:rPr>
      </w:pPr>
      <m:oMath>
        <m:sSub>
          <m:sSubPr>
            <m:ctrlPr>
              <w:rPr>
                <w:rFonts w:ascii="Cambria Math" w:hAnsi="Cambria Math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J</m:t>
            </m:r>
          </m:e>
          <m:sub>
            <m:r>
              <w:rPr>
                <w:rFonts w:ascii="Cambria Math" w:hAnsi="Cambria Math"/>
                <w:szCs w:val="23"/>
              </w:rPr>
              <m:t>BSA</m:t>
            </m:r>
          </m:sub>
        </m:sSub>
      </m:oMath>
      <w:r w:rsidR="004723EA" w:rsidRPr="00810F4F">
        <w:rPr>
          <w:szCs w:val="23"/>
        </w:rPr>
        <w:t xml:space="preserve"> – opłata jednorazowa za uruchomienie usługi BSA,</w:t>
      </w:r>
    </w:p>
    <w:p w14:paraId="393951D7" w14:textId="77777777" w:rsidR="000C39DD" w:rsidRDefault="0050005F" w:rsidP="00A3544F">
      <w:pPr>
        <w:spacing w:before="120" w:after="120" w:line="240" w:lineRule="auto"/>
        <w:ind w:firstLine="340"/>
        <w:jc w:val="left"/>
      </w:pPr>
      <m:oMath>
        <m:sSub>
          <m:sSubPr>
            <m:ctrlPr>
              <w:rPr>
                <w:rFonts w:ascii="Cambria Math" w:hAnsi="Cambria Math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D</m:t>
            </m:r>
          </m:e>
          <m:sub>
            <m:r>
              <w:rPr>
                <w:rFonts w:ascii="Cambria Math" w:hAnsi="Cambria Math"/>
                <w:szCs w:val="23"/>
              </w:rPr>
              <m:t>BSA</m:t>
            </m:r>
          </m:sub>
        </m:sSub>
      </m:oMath>
      <w:r w:rsidR="004723EA" w:rsidRPr="00810F4F">
        <w:rPr>
          <w:szCs w:val="23"/>
        </w:rPr>
        <w:t xml:space="preserve"> – opłata jednorazowa za dezaktywację usługi BSA.</w:t>
      </w:r>
    </w:p>
    <w:p w14:paraId="670569AA" w14:textId="77777777" w:rsidR="00EC3110" w:rsidRPr="00EC3110" w:rsidRDefault="008B18A1" w:rsidP="00EC3110">
      <w:pPr>
        <w:pStyle w:val="Nagwek2"/>
      </w:pPr>
      <w:bookmarkStart w:id="61" w:name="_Toc75849046"/>
      <w:r w:rsidRPr="008B18A1">
        <w:t>Zasady wyznaczania kosztów w ramach arkusza Koszty sieciowe</w:t>
      </w:r>
      <w:bookmarkEnd w:id="61"/>
    </w:p>
    <w:p w14:paraId="55B38050" w14:textId="647614BE" w:rsidR="008B18A1" w:rsidRPr="00AF4616" w:rsidRDefault="008B18A1" w:rsidP="00544480">
      <w:pPr>
        <w:pStyle w:val="Akapitzlist"/>
        <w:numPr>
          <w:ilvl w:val="0"/>
          <w:numId w:val="23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Na miesięczne koszty związane z wykorzystaniem</w:t>
      </w:r>
      <w:r w:rsidR="000279FD" w:rsidRPr="00AF4616">
        <w:rPr>
          <w:rFonts w:ascii="Calibri Light" w:hAnsi="Calibri Light"/>
          <w:szCs w:val="23"/>
        </w:rPr>
        <w:t xml:space="preserve"> </w:t>
      </w:r>
      <w:r w:rsidRPr="00AF4616">
        <w:rPr>
          <w:rFonts w:ascii="Calibri Light" w:hAnsi="Calibri Light"/>
          <w:szCs w:val="23"/>
        </w:rPr>
        <w:t xml:space="preserve">infrastruktury </w:t>
      </w:r>
      <w:r w:rsidR="000279FD">
        <w:rPr>
          <w:rFonts w:ascii="Calibri Light" w:hAnsi="Calibri Light"/>
          <w:szCs w:val="23"/>
        </w:rPr>
        <w:t xml:space="preserve">dodatkowej, za które OPL nie pobiera opłat na podstawie oferty ramowej, niezbędnej do zapewnienia usług dla użytkownika końcowego </w:t>
      </w:r>
      <w:r w:rsidR="009D68AC">
        <w:rPr>
          <w:rFonts w:ascii="Calibri Light" w:hAnsi="Calibri Light"/>
          <w:szCs w:val="23"/>
        </w:rPr>
        <w:t>składają się</w:t>
      </w:r>
      <w:r w:rsidRPr="00AF4616">
        <w:rPr>
          <w:rFonts w:ascii="Calibri Light" w:hAnsi="Calibri Light"/>
          <w:szCs w:val="23"/>
        </w:rPr>
        <w:t xml:space="preserve"> koszty amortyzacji, koszt kapitału zaangażowanego i koszty operacyjne. Amortyzacja i koszty </w:t>
      </w:r>
      <w:r>
        <w:rPr>
          <w:rFonts w:ascii="Calibri Light" w:hAnsi="Calibri Light"/>
          <w:szCs w:val="23"/>
        </w:rPr>
        <w:t>operacyjne powinny zostać</w:t>
      </w:r>
      <w:r w:rsidRPr="00AF4616">
        <w:rPr>
          <w:rFonts w:ascii="Calibri Light" w:hAnsi="Calibri Light"/>
          <w:szCs w:val="23"/>
        </w:rPr>
        <w:t xml:space="preserve"> określone</w:t>
      </w:r>
      <w:r>
        <w:rPr>
          <w:rFonts w:ascii="Calibri Light" w:hAnsi="Calibri Light"/>
          <w:szCs w:val="23"/>
        </w:rPr>
        <w:t xml:space="preserve"> przez </w:t>
      </w:r>
      <w:r w:rsidR="004723EA">
        <w:rPr>
          <w:rFonts w:ascii="Calibri Light" w:hAnsi="Calibri Light"/>
          <w:szCs w:val="23"/>
        </w:rPr>
        <w:t>OPL</w:t>
      </w:r>
      <w:r w:rsidR="004723EA" w:rsidRPr="00AF4616">
        <w:rPr>
          <w:rFonts w:ascii="Calibri Light" w:hAnsi="Calibri Light"/>
          <w:szCs w:val="23"/>
        </w:rPr>
        <w:t xml:space="preserve"> </w:t>
      </w:r>
      <w:r w:rsidR="00FF25FB">
        <w:rPr>
          <w:rFonts w:ascii="Calibri Light" w:hAnsi="Calibri Light"/>
          <w:szCs w:val="23"/>
        </w:rPr>
        <w:br/>
      </w:r>
      <w:r w:rsidRPr="00AF4616">
        <w:rPr>
          <w:rFonts w:ascii="Calibri Light" w:hAnsi="Calibri Light"/>
          <w:szCs w:val="23"/>
        </w:rPr>
        <w:t>na podstawie danych księgowych, natomiast koszt kapitału zaangażowanego zostanie wyznaczony jako iloczyn wartości księgowej netto oraz wskaźnika WACC</w:t>
      </w:r>
      <w:r>
        <w:rPr>
          <w:rFonts w:ascii="Calibri Light" w:hAnsi="Calibri Light"/>
          <w:szCs w:val="23"/>
        </w:rPr>
        <w:t xml:space="preserve">. </w:t>
      </w:r>
    </w:p>
    <w:p w14:paraId="624E69EE" w14:textId="77777777" w:rsidR="008B18A1" w:rsidRPr="00AF4616" w:rsidRDefault="008B18A1" w:rsidP="00E321D2">
      <w:pPr>
        <w:pStyle w:val="Akapitzlist"/>
        <w:numPr>
          <w:ilvl w:val="0"/>
          <w:numId w:val="23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 xml:space="preserve">Koszty związane z wykorzystaniem infrastruktury zostaną przeliczone na jednego </w:t>
      </w:r>
      <w:r w:rsidR="009408D4">
        <w:rPr>
          <w:rFonts w:ascii="Calibri Light" w:hAnsi="Calibri Light"/>
          <w:szCs w:val="23"/>
        </w:rPr>
        <w:t>a</w:t>
      </w:r>
      <w:r w:rsidRPr="00AF4616">
        <w:rPr>
          <w:rFonts w:ascii="Calibri Light" w:hAnsi="Calibri Light"/>
          <w:szCs w:val="23"/>
        </w:rPr>
        <w:t>bonenta.</w:t>
      </w:r>
    </w:p>
    <w:p w14:paraId="7542CCBD" w14:textId="77777777" w:rsidR="008B18A1" w:rsidRPr="00AF4616" w:rsidRDefault="008B18A1" w:rsidP="00E321D2">
      <w:pPr>
        <w:pStyle w:val="Akapitzlist"/>
        <w:numPr>
          <w:ilvl w:val="0"/>
          <w:numId w:val="23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lastRenderedPageBreak/>
        <w:t>Przy wyznaczaniu kosztów związanych z wykorzystaniem infrastruktury należy przyjąć nastające elementy sieciowe:</w:t>
      </w:r>
    </w:p>
    <w:p w14:paraId="1EB5637A" w14:textId="77777777" w:rsidR="008B18A1" w:rsidRPr="00AF4616" w:rsidRDefault="00EC3110" w:rsidP="00E321D2">
      <w:pPr>
        <w:pStyle w:val="Akapitzlist"/>
        <w:numPr>
          <w:ilvl w:val="1"/>
          <w:numId w:val="24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</w:t>
      </w:r>
      <w:r w:rsidR="008B18A1">
        <w:rPr>
          <w:rFonts w:ascii="Calibri Light" w:hAnsi="Calibri Light"/>
          <w:szCs w:val="23"/>
        </w:rPr>
        <w:t xml:space="preserve">la usługi </w:t>
      </w:r>
      <w:r w:rsidR="00A832B7">
        <w:rPr>
          <w:rFonts w:ascii="Calibri Light" w:hAnsi="Calibri Light"/>
          <w:szCs w:val="23"/>
        </w:rPr>
        <w:t>Ethernet</w:t>
      </w:r>
      <w:r>
        <w:rPr>
          <w:rFonts w:ascii="Calibri Light" w:hAnsi="Calibri Light"/>
          <w:szCs w:val="23"/>
        </w:rPr>
        <w:t>:</w:t>
      </w:r>
    </w:p>
    <w:p w14:paraId="2FB5F9B1" w14:textId="77777777" w:rsidR="008B18A1" w:rsidRPr="00EF075D" w:rsidRDefault="008B18A1" w:rsidP="00E321D2">
      <w:pPr>
        <w:pStyle w:val="Akapitzlist"/>
        <w:numPr>
          <w:ilvl w:val="2"/>
          <w:numId w:val="24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EF075D">
        <w:rPr>
          <w:rFonts w:ascii="Calibri Light" w:hAnsi="Calibri Light"/>
          <w:szCs w:val="23"/>
        </w:rPr>
        <w:t>Sieć ETH (</w:t>
      </w:r>
      <w:r w:rsidRPr="00AF4616">
        <w:rPr>
          <w:rFonts w:ascii="Calibri Light" w:hAnsi="Calibri Light"/>
          <w:szCs w:val="23"/>
        </w:rPr>
        <w:t>koszty urządzeń aktywnych oraz infrastruktury pasywnej</w:t>
      </w:r>
      <w:r>
        <w:rPr>
          <w:rFonts w:ascii="Calibri Light" w:hAnsi="Calibri Light"/>
          <w:szCs w:val="23"/>
        </w:rPr>
        <w:t xml:space="preserve"> p</w:t>
      </w:r>
      <w:r w:rsidR="003405FB">
        <w:rPr>
          <w:rFonts w:ascii="Calibri Light" w:hAnsi="Calibri Light"/>
          <w:szCs w:val="23"/>
        </w:rPr>
        <w:t>omiędzy OLT a </w:t>
      </w:r>
      <w:r>
        <w:rPr>
          <w:rFonts w:ascii="Calibri Light" w:hAnsi="Calibri Light"/>
          <w:szCs w:val="23"/>
        </w:rPr>
        <w:t>urządzeniami Ethernet),</w:t>
      </w:r>
    </w:p>
    <w:p w14:paraId="7338C1E1" w14:textId="5524ECFD" w:rsidR="008B18A1" w:rsidRPr="00AF4616" w:rsidRDefault="008B18A1" w:rsidP="00E321D2">
      <w:pPr>
        <w:pStyle w:val="Akapitzlist"/>
        <w:numPr>
          <w:ilvl w:val="2"/>
          <w:numId w:val="24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EF075D">
        <w:rPr>
          <w:rFonts w:ascii="Calibri Light" w:hAnsi="Calibri Light"/>
          <w:szCs w:val="23"/>
        </w:rPr>
        <w:t>Sieć IP (</w:t>
      </w:r>
      <w:r w:rsidRPr="00AF4616">
        <w:rPr>
          <w:rFonts w:ascii="Calibri Light" w:hAnsi="Calibri Light"/>
          <w:szCs w:val="23"/>
        </w:rPr>
        <w:t>koszty urządzeń aktywnych</w:t>
      </w:r>
      <w:r>
        <w:rPr>
          <w:rFonts w:ascii="Calibri Light" w:hAnsi="Calibri Light"/>
          <w:szCs w:val="23"/>
        </w:rPr>
        <w:t xml:space="preserve"> routerów IP, </w:t>
      </w:r>
      <w:r w:rsidRPr="00AF4616">
        <w:rPr>
          <w:rFonts w:ascii="Calibri Light" w:hAnsi="Calibri Light"/>
          <w:szCs w:val="23"/>
        </w:rPr>
        <w:t>BRAS</w:t>
      </w:r>
      <w:r w:rsidR="00C35D11">
        <w:rPr>
          <w:rStyle w:val="Odwoanieprzypisudolnego"/>
          <w:rFonts w:ascii="Calibri Light" w:hAnsi="Calibri Light"/>
          <w:szCs w:val="23"/>
        </w:rPr>
        <w:footnoteReference w:id="10"/>
      </w:r>
      <w:r w:rsidR="00C35D11">
        <w:rPr>
          <w:rFonts w:ascii="Calibri Light" w:hAnsi="Calibri Light"/>
          <w:szCs w:val="23"/>
        </w:rPr>
        <w:t>/</w:t>
      </w:r>
      <w:r w:rsidRPr="00AF4616">
        <w:rPr>
          <w:rFonts w:ascii="Calibri Light" w:hAnsi="Calibri Light"/>
          <w:szCs w:val="23"/>
        </w:rPr>
        <w:t>BNG</w:t>
      </w:r>
      <w:r w:rsidR="00C35D11">
        <w:rPr>
          <w:rStyle w:val="Odwoanieprzypisudolnego"/>
          <w:rFonts w:ascii="Calibri Light" w:hAnsi="Calibri Light"/>
          <w:szCs w:val="23"/>
        </w:rPr>
        <w:footnoteReference w:id="11"/>
      </w:r>
      <w:r>
        <w:rPr>
          <w:rFonts w:ascii="Calibri Light" w:hAnsi="Calibri Light"/>
          <w:szCs w:val="23"/>
        </w:rPr>
        <w:t xml:space="preserve">, urządzeń autentykacyjnych, oraz </w:t>
      </w:r>
      <w:r w:rsidRPr="00AF4616">
        <w:rPr>
          <w:rFonts w:ascii="Calibri Light" w:hAnsi="Calibri Light"/>
          <w:szCs w:val="23"/>
        </w:rPr>
        <w:t>infrastruktury pasywnej</w:t>
      </w:r>
      <w:r>
        <w:rPr>
          <w:rFonts w:ascii="Calibri Light" w:hAnsi="Calibri Light"/>
          <w:szCs w:val="23"/>
        </w:rPr>
        <w:t>),</w:t>
      </w:r>
    </w:p>
    <w:p w14:paraId="6372D8FC" w14:textId="77777777" w:rsidR="008B18A1" w:rsidRPr="00AF4616" w:rsidRDefault="00B23ACE" w:rsidP="00E321D2">
      <w:pPr>
        <w:pStyle w:val="Akapitzlist"/>
        <w:numPr>
          <w:ilvl w:val="2"/>
          <w:numId w:val="24"/>
        </w:numPr>
        <w:suppressAutoHyphens/>
        <w:spacing w:before="120" w:after="120" w:line="240" w:lineRule="auto"/>
        <w:ind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 wymiany ruchu – peering;</w:t>
      </w:r>
    </w:p>
    <w:p w14:paraId="47FB2C50" w14:textId="77777777" w:rsidR="008B18A1" w:rsidRDefault="00EC3110" w:rsidP="00E321D2">
      <w:pPr>
        <w:pStyle w:val="Akapitzlist"/>
        <w:numPr>
          <w:ilvl w:val="1"/>
          <w:numId w:val="24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</w:t>
      </w:r>
      <w:r w:rsidR="008B18A1" w:rsidRPr="00EF075D">
        <w:rPr>
          <w:rFonts w:ascii="Calibri Light" w:hAnsi="Calibri Light"/>
          <w:szCs w:val="23"/>
        </w:rPr>
        <w:t>la usługi BSA na poziomie</w:t>
      </w:r>
      <w:r w:rsidR="008B18A1">
        <w:rPr>
          <w:rFonts w:ascii="Calibri Light" w:hAnsi="Calibri Light"/>
          <w:szCs w:val="23"/>
        </w:rPr>
        <w:t xml:space="preserve"> IP niezarządzany</w:t>
      </w:r>
      <w:r w:rsidR="00197B8B">
        <w:rPr>
          <w:rFonts w:ascii="Calibri Light" w:hAnsi="Calibri Light"/>
          <w:szCs w:val="23"/>
        </w:rPr>
        <w:t>,</w:t>
      </w:r>
      <w:r w:rsidR="008B18A1" w:rsidRPr="00EF075D">
        <w:rPr>
          <w:rFonts w:ascii="Calibri Light" w:hAnsi="Calibri Light"/>
          <w:szCs w:val="23"/>
        </w:rPr>
        <w:t xml:space="preserve"> </w:t>
      </w:r>
      <w:r w:rsidR="00840241">
        <w:rPr>
          <w:rFonts w:ascii="Calibri Light" w:hAnsi="Calibri Light"/>
          <w:szCs w:val="23"/>
        </w:rPr>
        <w:t>dodatkowa</w:t>
      </w:r>
      <w:r w:rsidR="008B18A1">
        <w:rPr>
          <w:rFonts w:ascii="Calibri Light" w:hAnsi="Calibri Light"/>
          <w:szCs w:val="23"/>
        </w:rPr>
        <w:t xml:space="preserve"> </w:t>
      </w:r>
      <w:r w:rsidR="00840241">
        <w:rPr>
          <w:rFonts w:ascii="Calibri Light" w:hAnsi="Calibri Light"/>
          <w:szCs w:val="23"/>
        </w:rPr>
        <w:t>infrastruktura nie jest wykorzystywana</w:t>
      </w:r>
      <w:r w:rsidR="008B18A1">
        <w:rPr>
          <w:rFonts w:ascii="Calibri Light" w:hAnsi="Calibri Light"/>
          <w:szCs w:val="23"/>
        </w:rPr>
        <w:t>.</w:t>
      </w:r>
    </w:p>
    <w:p w14:paraId="09DFE111" w14:textId="77777777" w:rsidR="008B18A1" w:rsidRPr="00A53101" w:rsidRDefault="008B18A1" w:rsidP="00E321D2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Dla usług telewizyjnych dodatkowo uwzględniany jest k</w:t>
      </w:r>
      <w:r w:rsidRPr="00EF075D">
        <w:rPr>
          <w:rFonts w:ascii="Calibri Light" w:hAnsi="Calibri Light"/>
          <w:szCs w:val="23"/>
        </w:rPr>
        <w:t>oszt specyficznych elementów związanych ze świadczeniem usług telewizyjnych (</w:t>
      </w:r>
      <w:r>
        <w:rPr>
          <w:rFonts w:ascii="Calibri Light" w:hAnsi="Calibri Light"/>
          <w:szCs w:val="23"/>
        </w:rPr>
        <w:t>platformy</w:t>
      </w:r>
      <w:r w:rsidRPr="00A53101">
        <w:rPr>
          <w:rFonts w:ascii="Calibri Light" w:hAnsi="Calibri Light"/>
          <w:szCs w:val="23"/>
        </w:rPr>
        <w:t xml:space="preserve"> IPTV, VCAS, platforma VoD)</w:t>
      </w:r>
      <w:r>
        <w:rPr>
          <w:rFonts w:ascii="Calibri Light" w:hAnsi="Calibri Light"/>
          <w:szCs w:val="23"/>
        </w:rPr>
        <w:t>.</w:t>
      </w:r>
    </w:p>
    <w:p w14:paraId="6CCA0125" w14:textId="6C50F912" w:rsidR="008B18A1" w:rsidRDefault="008B18A1" w:rsidP="00544480">
      <w:pPr>
        <w:pStyle w:val="Akapitzlist"/>
        <w:numPr>
          <w:ilvl w:val="0"/>
          <w:numId w:val="24"/>
        </w:numPr>
        <w:suppressAutoHyphens/>
        <w:spacing w:after="12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lastRenderedPageBreak/>
        <w:t>Dla usług głosowych dodatkowo uwzględniany jest k</w:t>
      </w:r>
      <w:r w:rsidRPr="00EF075D">
        <w:rPr>
          <w:rFonts w:ascii="Calibri Light" w:hAnsi="Calibri Light"/>
          <w:szCs w:val="23"/>
        </w:rPr>
        <w:t>oszt specyficznych elementów związanych ze świadczeniem usług głosowych (Softswitchy</w:t>
      </w:r>
      <w:r w:rsidR="00C35D11">
        <w:rPr>
          <w:rStyle w:val="Odwoanieprzypisudolnego"/>
          <w:rFonts w:ascii="Calibri Light" w:hAnsi="Calibri Light"/>
          <w:szCs w:val="23"/>
        </w:rPr>
        <w:footnoteReference w:id="12"/>
      </w:r>
      <w:r w:rsidR="00340FA2">
        <w:rPr>
          <w:rFonts w:ascii="Calibri Light" w:hAnsi="Calibri Light"/>
          <w:szCs w:val="23"/>
        </w:rPr>
        <w:t>,</w:t>
      </w:r>
      <w:r w:rsidRPr="00EF075D">
        <w:rPr>
          <w:rFonts w:ascii="Calibri Light" w:hAnsi="Calibri Light"/>
          <w:szCs w:val="23"/>
        </w:rPr>
        <w:t>SBC</w:t>
      </w:r>
      <w:r w:rsidR="00840000">
        <w:rPr>
          <w:rStyle w:val="Odwoanieprzypisudolnego"/>
          <w:rFonts w:ascii="Calibri Light" w:hAnsi="Calibri Light"/>
          <w:szCs w:val="23"/>
        </w:rPr>
        <w:footnoteReference w:id="13"/>
      </w:r>
      <w:r w:rsidRPr="00EF075D">
        <w:rPr>
          <w:rFonts w:ascii="Calibri Light" w:hAnsi="Calibri Light"/>
          <w:szCs w:val="23"/>
        </w:rPr>
        <w:t>, IMS</w:t>
      </w:r>
      <w:r w:rsidR="00D964E5">
        <w:rPr>
          <w:rStyle w:val="Odwoanieprzypisudolnego"/>
          <w:rFonts w:ascii="Calibri Light" w:hAnsi="Calibri Light"/>
          <w:szCs w:val="23"/>
        </w:rPr>
        <w:footnoteReference w:id="14"/>
      </w:r>
      <w:r w:rsidRPr="00EF075D">
        <w:rPr>
          <w:rFonts w:ascii="Calibri Light" w:hAnsi="Calibri Light"/>
          <w:szCs w:val="23"/>
        </w:rPr>
        <w:t>, MGW</w:t>
      </w:r>
      <w:r w:rsidR="009F77A1">
        <w:rPr>
          <w:rStyle w:val="Odwoanieprzypisudolnego"/>
          <w:rFonts w:ascii="Calibri Light" w:hAnsi="Calibri Light"/>
          <w:szCs w:val="23"/>
        </w:rPr>
        <w:footnoteReference w:id="15"/>
      </w:r>
      <w:r w:rsidRPr="00EF075D">
        <w:rPr>
          <w:rFonts w:ascii="Calibri Light" w:hAnsi="Calibri Light"/>
          <w:szCs w:val="23"/>
        </w:rPr>
        <w:t>, POI)</w:t>
      </w:r>
      <w:r>
        <w:rPr>
          <w:rFonts w:ascii="Calibri Light" w:hAnsi="Calibri Light"/>
          <w:szCs w:val="23"/>
        </w:rPr>
        <w:t>.</w:t>
      </w:r>
    </w:p>
    <w:p w14:paraId="1C9ADC95" w14:textId="5E08F899" w:rsidR="008B18A1" w:rsidRDefault="008B18A1" w:rsidP="00544480">
      <w:pPr>
        <w:pStyle w:val="Akapitzlist"/>
        <w:numPr>
          <w:ilvl w:val="0"/>
          <w:numId w:val="24"/>
        </w:numPr>
        <w:suppressAutoHyphens/>
        <w:spacing w:after="12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splitterów optycznych, sieci dosyłowej, OLT</w:t>
      </w:r>
      <w:r w:rsidR="00F07366">
        <w:rPr>
          <w:rStyle w:val="Odwoanieprzypisudolnego"/>
          <w:rFonts w:ascii="Calibri Light" w:hAnsi="Calibri Light"/>
          <w:szCs w:val="23"/>
        </w:rPr>
        <w:footnoteReference w:id="16"/>
      </w:r>
      <w:r>
        <w:rPr>
          <w:rFonts w:ascii="Calibri Light" w:hAnsi="Calibri Light"/>
          <w:szCs w:val="23"/>
        </w:rPr>
        <w:t xml:space="preserve"> oraz koszty elementów specyficznych dla świadczenia usług telewizyjnych oraz głosowych wyznaczane są w przeliczeniu na abonenta. Liczba abonentów powinna przedstawiać liczbę abonentów,</w:t>
      </w:r>
      <w:r w:rsidRPr="00CB7295">
        <w:rPr>
          <w:rFonts w:ascii="Calibri Light" w:hAnsi="Calibri Light"/>
          <w:szCs w:val="23"/>
        </w:rPr>
        <w:t xml:space="preserve"> przyjętą do określenia pojemności</w:t>
      </w:r>
      <w:r>
        <w:rPr>
          <w:rFonts w:ascii="Calibri Light" w:hAnsi="Calibri Light"/>
          <w:szCs w:val="23"/>
        </w:rPr>
        <w:t xml:space="preserve"> poszczególnych elementów sieci na etapie planowania</w:t>
      </w:r>
      <w:r w:rsidR="0035479E">
        <w:rPr>
          <w:rFonts w:ascii="Calibri Light" w:hAnsi="Calibri Light"/>
          <w:szCs w:val="23"/>
        </w:rPr>
        <w:t>.</w:t>
      </w:r>
    </w:p>
    <w:p w14:paraId="7C0D0895" w14:textId="358C3D02" w:rsidR="008B18A1" w:rsidRPr="00B10CE6" w:rsidRDefault="008B18A1" w:rsidP="00B10CE6">
      <w:pPr>
        <w:pStyle w:val="Akapitzlist"/>
        <w:numPr>
          <w:ilvl w:val="0"/>
          <w:numId w:val="24"/>
        </w:numPr>
        <w:suppressAutoHyphens/>
        <w:spacing w:after="120" w:line="240" w:lineRule="auto"/>
        <w:ind w:left="357" w:hanging="357"/>
        <w:contextualSpacing w:val="0"/>
        <w:jc w:val="left"/>
        <w:rPr>
          <w:rFonts w:ascii="Calibri Light" w:hAnsi="Calibri Light"/>
          <w:szCs w:val="23"/>
        </w:rPr>
      </w:pPr>
      <w:r w:rsidRPr="00E66D6F">
        <w:rPr>
          <w:rFonts w:ascii="Calibri Light" w:hAnsi="Calibri Light"/>
          <w:szCs w:val="23"/>
        </w:rPr>
        <w:t>Koszty sieci Ethernet wyznaczane są</w:t>
      </w:r>
      <w:r w:rsidR="00B10CE6">
        <w:rPr>
          <w:rFonts w:ascii="Calibri Light" w:hAnsi="Calibri Light"/>
          <w:szCs w:val="23"/>
        </w:rPr>
        <w:t xml:space="preserve"> na podstawie ś</w:t>
      </w:r>
      <w:r w:rsidR="00B10CE6" w:rsidRPr="00B10CE6">
        <w:rPr>
          <w:rFonts w:ascii="Calibri Light" w:hAnsi="Calibri Light"/>
          <w:szCs w:val="23"/>
        </w:rPr>
        <w:t>redni</w:t>
      </w:r>
      <w:r w:rsidR="00B10CE6">
        <w:rPr>
          <w:rFonts w:ascii="Calibri Light" w:hAnsi="Calibri Light"/>
          <w:szCs w:val="23"/>
        </w:rPr>
        <w:t>ej</w:t>
      </w:r>
      <w:r w:rsidR="00B10CE6" w:rsidRPr="00B10CE6">
        <w:rPr>
          <w:rFonts w:ascii="Calibri Light" w:hAnsi="Calibri Light"/>
          <w:szCs w:val="23"/>
        </w:rPr>
        <w:t xml:space="preserve"> przepustowoś</w:t>
      </w:r>
      <w:r w:rsidR="00B10CE6">
        <w:rPr>
          <w:rFonts w:ascii="Calibri Light" w:hAnsi="Calibri Light"/>
          <w:szCs w:val="23"/>
        </w:rPr>
        <w:t>ci</w:t>
      </w:r>
      <w:r w:rsidR="00B10CE6" w:rsidRPr="00B10CE6">
        <w:rPr>
          <w:rFonts w:ascii="Calibri Light" w:hAnsi="Calibri Light"/>
          <w:szCs w:val="23"/>
        </w:rPr>
        <w:t xml:space="preserve"> dla opcji </w:t>
      </w:r>
      <w:r w:rsidR="00B10CE6">
        <w:rPr>
          <w:rFonts w:ascii="Calibri Light" w:hAnsi="Calibri Light"/>
          <w:szCs w:val="23"/>
        </w:rPr>
        <w:t xml:space="preserve">prędkości </w:t>
      </w:r>
      <w:r w:rsidRPr="00B10CE6">
        <w:rPr>
          <w:rFonts w:ascii="Calibri Light" w:hAnsi="Calibri Light"/>
          <w:szCs w:val="23"/>
        </w:rPr>
        <w:t>w przeliczeniu na 1</w:t>
      </w:r>
      <w:r w:rsidR="00B10CE6">
        <w:rPr>
          <w:rFonts w:ascii="Calibri Light" w:hAnsi="Calibri Light"/>
          <w:szCs w:val="23"/>
        </w:rPr>
        <w:t xml:space="preserve"> kbit/s </w:t>
      </w:r>
      <w:r w:rsidRPr="00B10CE6">
        <w:rPr>
          <w:rFonts w:ascii="Calibri Light" w:hAnsi="Calibri Light"/>
          <w:szCs w:val="23"/>
        </w:rPr>
        <w:t>przesłanych danych</w:t>
      </w:r>
      <w:r w:rsidR="00B10CE6">
        <w:rPr>
          <w:rFonts w:ascii="Calibri Light" w:hAnsi="Calibri Light"/>
          <w:szCs w:val="23"/>
        </w:rPr>
        <w:t xml:space="preserve"> </w:t>
      </w:r>
      <w:r w:rsidRPr="00B10CE6">
        <w:rPr>
          <w:rFonts w:ascii="Calibri Light" w:hAnsi="Calibri Light"/>
          <w:szCs w:val="23"/>
        </w:rPr>
        <w:t>wyznaczany</w:t>
      </w:r>
      <w:r w:rsidR="00B10CE6">
        <w:rPr>
          <w:rFonts w:ascii="Calibri Light" w:hAnsi="Calibri Light"/>
          <w:szCs w:val="23"/>
        </w:rPr>
        <w:t xml:space="preserve"> </w:t>
      </w:r>
      <w:r w:rsidRPr="00B10CE6">
        <w:rPr>
          <w:rFonts w:ascii="Calibri Light" w:hAnsi="Calibri Light"/>
          <w:szCs w:val="23"/>
        </w:rPr>
        <w:t>jako:</w:t>
      </w:r>
    </w:p>
    <w:p w14:paraId="1B0F2EC6" w14:textId="77777777" w:rsidR="008B18A1" w:rsidRPr="00E66D6F" w:rsidRDefault="0050005F" w:rsidP="008B18A1">
      <w:pPr>
        <w:pStyle w:val="Akapitzlist"/>
        <w:suppressAutoHyphens/>
        <w:spacing w:after="0" w:line="240" w:lineRule="auto"/>
        <w:ind w:left="360"/>
        <w:rPr>
          <w:rFonts w:ascii="Calibri Light" w:hAnsi="Calibri Light"/>
          <w:szCs w:val="23"/>
        </w:rPr>
      </w:pPr>
      <m:oMathPara>
        <m:oMath>
          <m:sSub>
            <m:sSubPr>
              <m:ctrlPr>
                <w:rPr>
                  <w:rFonts w:ascii="Cambria Math" w:hAnsi="Calibri Light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ETH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libri Light"/>
              <w:sz w:val="24"/>
              <w:szCs w:val="24"/>
            </w:rPr>
            <m:t>=R</m:t>
          </m:r>
          <m:r>
            <w:rPr>
              <w:rFonts w:ascii="Cambria Math" w:hAnsi="Cambria Math" w:cs="Cambria Math"/>
              <w:sz w:val="24"/>
              <w:szCs w:val="24"/>
            </w:rPr>
            <m:t>*</m:t>
          </m:r>
          <m:r>
            <w:rPr>
              <w:rFonts w:ascii="Cambria Math" w:hAnsi="Calibri Light"/>
              <w:sz w:val="24"/>
              <w:szCs w:val="24"/>
            </w:rPr>
            <m:t>365 /24 / 3600</m:t>
          </m:r>
          <m:r>
            <w:rPr>
              <w:rFonts w:ascii="Cambria Math" w:hAnsi="Cambria Math" w:cs="Cambria Math"/>
              <w:sz w:val="24"/>
              <w:szCs w:val="24"/>
            </w:rPr>
            <m:t>*</m:t>
          </m:r>
          <m:r>
            <w:rPr>
              <w:rFonts w:ascii="Cambria Math" w:hAnsi="Cambria Math"/>
              <w:sz w:val="24"/>
              <w:szCs w:val="24"/>
            </w:rPr>
            <m:t>8*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1024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^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3 / 1000 </m:t>
          </m:r>
        </m:oMath>
      </m:oMathPara>
    </w:p>
    <w:p w14:paraId="3082121C" w14:textId="77777777" w:rsidR="00AC7A3C" w:rsidRPr="007A6EF2" w:rsidRDefault="00AC7A3C" w:rsidP="00AC7A3C">
      <w:pPr>
        <w:pStyle w:val="Akapitzlist"/>
        <w:ind w:left="36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Gdzie:</w:t>
      </w:r>
    </w:p>
    <w:p w14:paraId="08FD8E26" w14:textId="77777777" w:rsidR="008B18A1" w:rsidRPr="00E66D6F" w:rsidRDefault="0050005F" w:rsidP="00544480">
      <w:pPr>
        <w:pStyle w:val="Akapitzlist"/>
        <w:suppressAutoHyphens/>
        <w:spacing w:after="0" w:line="240" w:lineRule="auto"/>
        <w:ind w:left="36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b/>
                <w:szCs w:val="23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3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3"/>
              </w:rPr>
              <m:t>ETH</m:t>
            </m:r>
          </m:sub>
        </m:sSub>
      </m:oMath>
      <w:r w:rsidR="008B18A1">
        <w:rPr>
          <w:rFonts w:ascii="Calibri Light" w:hAnsi="Calibri Light"/>
          <w:szCs w:val="23"/>
        </w:rPr>
        <w:t xml:space="preserve"> </w:t>
      </w:r>
      <w:r w:rsidR="00B10CE6">
        <w:rPr>
          <w:rFonts w:ascii="Calibri Light" w:hAnsi="Calibri Light"/>
          <w:szCs w:val="23"/>
        </w:rPr>
        <w:t>–</w:t>
      </w:r>
      <w:r w:rsidR="008B18A1">
        <w:rPr>
          <w:rFonts w:ascii="Calibri Light" w:hAnsi="Calibri Light"/>
          <w:szCs w:val="23"/>
        </w:rPr>
        <w:t xml:space="preserve"> </w:t>
      </w:r>
      <w:r w:rsidR="00F35F19">
        <w:rPr>
          <w:rFonts w:ascii="Calibri Light" w:hAnsi="Calibri Light"/>
          <w:szCs w:val="23"/>
        </w:rPr>
        <w:t>ś</w:t>
      </w:r>
      <w:r w:rsidR="00F35F19" w:rsidRPr="00B10CE6">
        <w:rPr>
          <w:rFonts w:ascii="Calibri Light" w:hAnsi="Calibri Light"/>
          <w:szCs w:val="23"/>
        </w:rPr>
        <w:t>redni</w:t>
      </w:r>
      <w:r w:rsidR="00F35F19">
        <w:rPr>
          <w:rFonts w:ascii="Calibri Light" w:hAnsi="Calibri Light"/>
          <w:szCs w:val="23"/>
        </w:rPr>
        <w:t xml:space="preserve">a </w:t>
      </w:r>
      <w:r w:rsidR="00F35F19" w:rsidRPr="00B10CE6">
        <w:rPr>
          <w:rFonts w:ascii="Calibri Light" w:hAnsi="Calibri Light"/>
          <w:szCs w:val="23"/>
        </w:rPr>
        <w:t>przepustowoś</w:t>
      </w:r>
      <w:r w:rsidR="00F35F19">
        <w:rPr>
          <w:rFonts w:ascii="Calibri Light" w:hAnsi="Calibri Light"/>
          <w:szCs w:val="23"/>
        </w:rPr>
        <w:t>ć</w:t>
      </w:r>
      <w:r w:rsidR="00F35F19" w:rsidRPr="00B10CE6">
        <w:rPr>
          <w:rFonts w:ascii="Calibri Light" w:hAnsi="Calibri Light"/>
          <w:szCs w:val="23"/>
        </w:rPr>
        <w:t xml:space="preserve"> dla opcji </w:t>
      </w:r>
      <w:r w:rsidR="00F35F19">
        <w:rPr>
          <w:rFonts w:ascii="Calibri Light" w:hAnsi="Calibri Light"/>
          <w:szCs w:val="23"/>
        </w:rPr>
        <w:t xml:space="preserve">prędkości </w:t>
      </w:r>
      <w:r w:rsidR="00F35F19" w:rsidRPr="00B10CE6">
        <w:rPr>
          <w:rFonts w:ascii="Calibri Light" w:hAnsi="Calibri Light"/>
          <w:szCs w:val="23"/>
        </w:rPr>
        <w:t>w przeliczeniu na 1</w:t>
      </w:r>
      <w:r w:rsidR="00F35F19">
        <w:rPr>
          <w:rFonts w:ascii="Calibri Light" w:hAnsi="Calibri Light"/>
          <w:szCs w:val="23"/>
        </w:rPr>
        <w:t xml:space="preserve"> kbit/s</w:t>
      </w:r>
    </w:p>
    <w:p w14:paraId="0242F058" w14:textId="77777777" w:rsidR="000208D2" w:rsidRDefault="000208D2" w:rsidP="000208D2">
      <w:pPr>
        <w:spacing w:after="0"/>
        <w:ind w:left="340"/>
      </w:pPr>
      <w:r>
        <w:rPr>
          <w:rFonts w:ascii="Calibri Light" w:hAnsi="Calibri Light"/>
          <w:b/>
          <w:szCs w:val="23"/>
        </w:rPr>
        <w:t xml:space="preserve"> </w:t>
      </w:r>
      <w:r w:rsidR="00C83C75" w:rsidRPr="000208D2">
        <w:rPr>
          <w:rFonts w:ascii="Calibri Light" w:hAnsi="Calibri Light"/>
          <w:b/>
          <w:szCs w:val="23"/>
        </w:rPr>
        <w:t>R</w:t>
      </w:r>
      <w:r>
        <w:rPr>
          <w:rFonts w:ascii="Calibri Light" w:hAnsi="Calibri Light"/>
          <w:b/>
          <w:szCs w:val="23"/>
        </w:rPr>
        <w:t xml:space="preserve"> </w:t>
      </w:r>
      <w:r w:rsidR="008B18A1" w:rsidRPr="000208D2">
        <w:rPr>
          <w:rFonts w:ascii="Calibri Light" w:hAnsi="Calibri Light"/>
          <w:szCs w:val="23"/>
        </w:rPr>
        <w:t xml:space="preserve">- </w:t>
      </w:r>
      <w:r w:rsidR="00C83C75" w:rsidRPr="000208D2">
        <w:rPr>
          <w:rFonts w:ascii="Calibri Light" w:hAnsi="Calibri Light"/>
          <w:szCs w:val="23"/>
        </w:rPr>
        <w:t>roczny</w:t>
      </w:r>
      <w:r w:rsidRPr="000208D2">
        <w:rPr>
          <w:rFonts w:ascii="Calibri Light" w:hAnsi="Calibri Light"/>
          <w:szCs w:val="23"/>
        </w:rPr>
        <w:t xml:space="preserve"> </w:t>
      </w:r>
      <w:r>
        <w:t xml:space="preserve">wolumen ruchu dla opcji prędkości wyrażony w GB/rok </w:t>
      </w:r>
    </w:p>
    <w:p w14:paraId="5D0B1DB5" w14:textId="77777777" w:rsidR="000208D2" w:rsidRDefault="000208D2" w:rsidP="00040E01">
      <w:pPr>
        <w:spacing w:before="120" w:after="120" w:line="240" w:lineRule="auto"/>
        <w:ind w:left="340"/>
      </w:pPr>
    </w:p>
    <w:p w14:paraId="0E7F9C60" w14:textId="77777777" w:rsidR="000208D2" w:rsidRDefault="000208D2" w:rsidP="00040E01">
      <w:pPr>
        <w:spacing w:before="120" w:after="120" w:line="240" w:lineRule="auto"/>
        <w:jc w:val="left"/>
      </w:pPr>
      <w:r>
        <w:lastRenderedPageBreak/>
        <w:t>Formuła użyta do przeliczenia „Rocznego wolumenu ruchu dla opcji prędkości” wyrażone</w:t>
      </w:r>
      <w:r w:rsidR="00040E01">
        <w:t>j</w:t>
      </w:r>
      <w:r w:rsidR="00040E01">
        <w:br/>
      </w:r>
      <w:r>
        <w:t>w GB/rok na strumień kbit/s działa w trzech krokach:</w:t>
      </w:r>
    </w:p>
    <w:p w14:paraId="509EBD68" w14:textId="77777777" w:rsidR="000208D2" w:rsidRDefault="000208D2" w:rsidP="00040E01">
      <w:pPr>
        <w:pStyle w:val="Akapitzlist"/>
        <w:numPr>
          <w:ilvl w:val="0"/>
          <w:numId w:val="33"/>
        </w:numPr>
        <w:spacing w:before="120" w:after="120" w:line="240" w:lineRule="auto"/>
        <w:ind w:left="992" w:hanging="425"/>
        <w:contextualSpacing w:val="0"/>
        <w:jc w:val="left"/>
        <w:rPr>
          <w:rFonts w:eastAsia="Times New Roman"/>
        </w:rPr>
      </w:pPr>
      <w:r>
        <w:rPr>
          <w:rFonts w:eastAsia="Times New Roman"/>
        </w:rPr>
        <w:t xml:space="preserve">zamienia sumę Gigabajtów przesłanych w ciągu roku na sumę bitów przesłanych </w:t>
      </w:r>
      <w:r w:rsidR="00040E01">
        <w:rPr>
          <w:rFonts w:eastAsia="Times New Roman"/>
        </w:rPr>
        <w:br/>
      </w:r>
      <w:r>
        <w:rPr>
          <w:rFonts w:eastAsia="Times New Roman"/>
        </w:rPr>
        <w:t>w ciągu roku, czyli wolumen GB/rok mnoży przez 1024^3 i przez 8</w:t>
      </w:r>
      <w:r w:rsidR="00040E01">
        <w:rPr>
          <w:rFonts w:eastAsia="Times New Roman"/>
        </w:rPr>
        <w:t>,</w:t>
      </w:r>
    </w:p>
    <w:p w14:paraId="74D510E6" w14:textId="77777777" w:rsidR="000208D2" w:rsidRDefault="000208D2" w:rsidP="00040E01">
      <w:pPr>
        <w:pStyle w:val="Akapitzlist"/>
        <w:numPr>
          <w:ilvl w:val="0"/>
          <w:numId w:val="33"/>
        </w:numPr>
        <w:spacing w:before="120" w:after="120" w:line="240" w:lineRule="auto"/>
        <w:ind w:left="992" w:hanging="425"/>
        <w:contextualSpacing w:val="0"/>
        <w:jc w:val="left"/>
        <w:rPr>
          <w:rFonts w:eastAsia="Times New Roman"/>
        </w:rPr>
      </w:pPr>
      <w:r>
        <w:rPr>
          <w:rFonts w:eastAsia="Times New Roman"/>
        </w:rPr>
        <w:t>sumę bitów przesłanych w ciągu roku zamienia na strumień bitów przesyłanych w ciągu jednej sekundy, czyli wolumen bitów/rok dzieli przez liczbę sekund w roku (365*24*3600)</w:t>
      </w:r>
      <w:r w:rsidR="00040E01">
        <w:rPr>
          <w:rFonts w:eastAsia="Times New Roman"/>
        </w:rPr>
        <w:t>,</w:t>
      </w:r>
    </w:p>
    <w:p w14:paraId="2CF64AC1" w14:textId="77777777" w:rsidR="00B610D3" w:rsidRPr="00040E01" w:rsidRDefault="000208D2" w:rsidP="00040E01">
      <w:pPr>
        <w:pStyle w:val="Akapitzlist"/>
        <w:numPr>
          <w:ilvl w:val="0"/>
          <w:numId w:val="33"/>
        </w:numPr>
        <w:spacing w:before="120" w:after="120" w:line="240" w:lineRule="auto"/>
        <w:ind w:left="992" w:hanging="425"/>
        <w:contextualSpacing w:val="0"/>
        <w:jc w:val="left"/>
        <w:rPr>
          <w:rFonts w:eastAsia="Times New Roman"/>
        </w:rPr>
      </w:pPr>
      <w:r>
        <w:rPr>
          <w:rFonts w:eastAsia="Times New Roman"/>
        </w:rPr>
        <w:t xml:space="preserve">zamienia jednostkę strumienia bitów przesyłanych w ciągu jednej sekundy z bit/s </w:t>
      </w:r>
      <w:r w:rsidR="00040E01">
        <w:rPr>
          <w:rFonts w:eastAsia="Times New Roman"/>
        </w:rPr>
        <w:br/>
      </w:r>
      <w:r>
        <w:rPr>
          <w:rFonts w:eastAsia="Times New Roman"/>
        </w:rPr>
        <w:t xml:space="preserve">na kbit/s, czyli bity przesyłane w ciągu jednej sekundy dzieli przez </w:t>
      </w:r>
      <w:r w:rsidRPr="00040E01">
        <w:rPr>
          <w:rFonts w:eastAsia="Times New Roman"/>
        </w:rPr>
        <w:t>1024</w:t>
      </w:r>
      <w:r w:rsidR="00040E01">
        <w:rPr>
          <w:rFonts w:eastAsia="Times New Roman"/>
        </w:rPr>
        <w:t>.</w:t>
      </w:r>
    </w:p>
    <w:p w14:paraId="7F9EAA0C" w14:textId="77777777" w:rsidR="008B18A1" w:rsidRDefault="008B18A1" w:rsidP="00544480">
      <w:pPr>
        <w:pStyle w:val="Akapitzlist"/>
        <w:numPr>
          <w:ilvl w:val="0"/>
          <w:numId w:val="24"/>
        </w:numPr>
        <w:suppressAutoHyphens/>
        <w:spacing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sieciowe dla danej opcji wyznaczane są zgodnie ze wzorem:</w:t>
      </w:r>
    </w:p>
    <w:p w14:paraId="04EE89B2" w14:textId="77777777" w:rsidR="00AC7A3C" w:rsidRDefault="00AC7A3C" w:rsidP="00AC7A3C">
      <w:pPr>
        <w:pStyle w:val="Akapitzlist"/>
        <w:suppressAutoHyphens/>
        <w:spacing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</w:p>
    <w:p w14:paraId="4E25248A" w14:textId="77777777" w:rsidR="008B18A1" w:rsidRPr="00E66D6F" w:rsidRDefault="0050005F" w:rsidP="008B18A1">
      <w:pPr>
        <w:pStyle w:val="Akapitzlist"/>
        <w:suppressAutoHyphens/>
        <w:spacing w:after="0" w:line="240" w:lineRule="auto"/>
        <w:ind w:left="360"/>
        <w:rPr>
          <w:rFonts w:ascii="Calibri Light" w:hAnsi="Calibri Light"/>
          <w:szCs w:val="23"/>
        </w:rPr>
      </w:pPr>
      <m:oMathPara>
        <m:oMath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P</m:t>
              </m:r>
            </m:sub>
          </m:sSub>
          <m:r>
            <w:rPr>
              <w:rFonts w:ascii="Cambria Math" w:hAnsi="Calibri Light"/>
              <w:szCs w:val="23"/>
            </w:rPr>
            <m:t>=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mbria Math"/>
                  <w:szCs w:val="23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libri Light"/>
              <w:szCs w:val="23"/>
            </w:rPr>
            <m:t>+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W</m:t>
              </m:r>
            </m:e>
            <m:sub>
              <m:r>
                <w:rPr>
                  <w:rFonts w:ascii="Cambria Math" w:hAnsi="Cambria Math"/>
                  <w:szCs w:val="23"/>
                </w:rPr>
                <m:t>A</m:t>
              </m:r>
            </m:sub>
          </m:sSub>
          <m:r>
            <w:rPr>
              <w:rFonts w:ascii="Cambria Math" w:hAnsi="Cambria Math"/>
              <w:szCs w:val="23"/>
            </w:rPr>
            <m:t>*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libri Light"/>
                  <w:szCs w:val="23"/>
                </w:rPr>
                <m:t>R</m:t>
              </m:r>
            </m:sub>
          </m:sSub>
          <m:r>
            <w:rPr>
              <w:rFonts w:ascii="Cambria Math" w:hAnsi="Cambria Math"/>
              <w:szCs w:val="23"/>
            </w:rPr>
            <m:t>+</m:t>
          </m:r>
          <m:sSub>
            <m:sSubPr>
              <m:ctrlPr>
                <w:rPr>
                  <w:rFonts w:ascii="Cambria Math" w:hAnsi="Calibri Light"/>
                  <w:szCs w:val="23"/>
                </w:rPr>
              </m:ctrlPr>
            </m:sSubPr>
            <m:e>
              <m:r>
                <w:rPr>
                  <w:rFonts w:ascii="Cambria Math" w:hAnsi="Cambria Math"/>
                  <w:szCs w:val="23"/>
                </w:rPr>
                <m:t>C</m:t>
              </m:r>
            </m:e>
            <m:sub>
              <m:r>
                <w:rPr>
                  <w:rFonts w:ascii="Cambria Math" w:hAnsi="Calibri Light"/>
                  <w:szCs w:val="23"/>
                </w:rPr>
                <m:t>TV</m:t>
              </m:r>
            </m:sub>
          </m:sSub>
          <m:r>
            <w:rPr>
              <w:rFonts w:ascii="Cambria Math" w:hAnsi="Cambria Math"/>
              <w:szCs w:val="23"/>
            </w:rPr>
            <m:t>/12</m:t>
          </m:r>
        </m:oMath>
      </m:oMathPara>
    </w:p>
    <w:p w14:paraId="01F7A8CA" w14:textId="77777777" w:rsidR="00AC7A3C" w:rsidRPr="007A6EF2" w:rsidRDefault="00AC7A3C" w:rsidP="00E321D2">
      <w:pPr>
        <w:pStyle w:val="Akapitzlist"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Gdzie:</w:t>
      </w:r>
    </w:p>
    <w:p w14:paraId="1512FB04" w14:textId="77777777" w:rsidR="008B18A1" w:rsidRPr="00D1241D" w:rsidRDefault="0050005F" w:rsidP="00E321D2">
      <w:pPr>
        <w:pStyle w:val="Akapitzlist"/>
        <w:suppressAutoHyphens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P</m:t>
            </m:r>
          </m:sub>
        </m:sSub>
      </m:oMath>
      <w:r w:rsidR="008B18A1">
        <w:rPr>
          <w:rFonts w:ascii="Calibri Light" w:hAnsi="Calibri Light"/>
          <w:szCs w:val="23"/>
        </w:rPr>
        <w:t xml:space="preserve"> – koszty sieciowe dla danej opcji</w:t>
      </w:r>
      <w:r w:rsidR="008D06B2">
        <w:rPr>
          <w:rFonts w:ascii="Calibri Light" w:hAnsi="Calibri Light"/>
          <w:szCs w:val="23"/>
        </w:rPr>
        <w:t xml:space="preserve"> w przeliczeniu miesięcznie na abonenta</w:t>
      </w:r>
      <w:r w:rsidR="008B18A1">
        <w:rPr>
          <w:rFonts w:ascii="Calibri Light" w:hAnsi="Calibri Light"/>
          <w:szCs w:val="23"/>
        </w:rPr>
        <w:t>,</w:t>
      </w:r>
    </w:p>
    <w:p w14:paraId="143493B0" w14:textId="77777777" w:rsidR="008B18A1" w:rsidRPr="00D1241D" w:rsidRDefault="0050005F" w:rsidP="00E321D2">
      <w:pPr>
        <w:pStyle w:val="Akapitzlist"/>
        <w:suppressAutoHyphens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mbria Math"/>
                <w:szCs w:val="23"/>
              </w:rPr>
              <m:t>A</m:t>
            </m:r>
          </m:sub>
        </m:sSub>
      </m:oMath>
      <w:r w:rsidR="008B18A1">
        <w:rPr>
          <w:rFonts w:ascii="Calibri Light" w:hAnsi="Calibri Light"/>
          <w:szCs w:val="23"/>
        </w:rPr>
        <w:t xml:space="preserve"> - koszty sieciowe na abonenta (koszty splitterów optycznych, sieci dosyłowej, OLT oraz koszty elementów specyficznych dla świadczenia usług telewizyjnych oraz głosowych),</w:t>
      </w:r>
    </w:p>
    <w:p w14:paraId="40127924" w14:textId="77777777" w:rsidR="008B18A1" w:rsidRPr="00D1241D" w:rsidRDefault="0050005F" w:rsidP="00E321D2">
      <w:pPr>
        <w:pStyle w:val="Akapitzlist"/>
        <w:suppressAutoHyphens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W</m:t>
            </m:r>
          </m:e>
          <m:sub>
            <m:r>
              <w:rPr>
                <w:rFonts w:ascii="Cambria Math" w:hAnsi="Cambria Math"/>
                <w:szCs w:val="23"/>
              </w:rPr>
              <m:t>A</m:t>
            </m:r>
          </m:sub>
        </m:sSub>
      </m:oMath>
      <w:r w:rsidR="008B18A1">
        <w:rPr>
          <w:rFonts w:ascii="Calibri Light" w:hAnsi="Calibri Light"/>
          <w:szCs w:val="23"/>
        </w:rPr>
        <w:t>- r</w:t>
      </w:r>
      <w:r w:rsidR="008B18A1" w:rsidRPr="00D1241D">
        <w:rPr>
          <w:rFonts w:ascii="Calibri Light" w:hAnsi="Calibri Light"/>
          <w:szCs w:val="23"/>
        </w:rPr>
        <w:t>oczny wolumen ruchu na abonenta</w:t>
      </w:r>
      <w:r w:rsidR="008B18A1">
        <w:rPr>
          <w:rFonts w:ascii="Calibri Light" w:hAnsi="Calibri Light"/>
          <w:szCs w:val="23"/>
        </w:rPr>
        <w:t xml:space="preserve"> w danej opcji prędkości w </w:t>
      </w:r>
      <w:r w:rsidR="00E47EF5">
        <w:rPr>
          <w:rFonts w:ascii="Calibri Light" w:hAnsi="Calibri Light"/>
          <w:szCs w:val="23"/>
        </w:rPr>
        <w:t>GB</w:t>
      </w:r>
      <w:r w:rsidR="008B18A1">
        <w:rPr>
          <w:rFonts w:ascii="Calibri Light" w:hAnsi="Calibri Light"/>
          <w:szCs w:val="23"/>
        </w:rPr>
        <w:t>,</w:t>
      </w:r>
    </w:p>
    <w:p w14:paraId="1FBE2861" w14:textId="77777777" w:rsidR="008B18A1" w:rsidRPr="00D1241D" w:rsidRDefault="0050005F" w:rsidP="00E321D2">
      <w:pPr>
        <w:pStyle w:val="Akapitzlist"/>
        <w:suppressAutoHyphens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libri Light"/>
                <w:szCs w:val="23"/>
              </w:rPr>
              <m:t>R</m:t>
            </m:r>
          </m:sub>
        </m:sSub>
      </m:oMath>
      <w:r w:rsidR="008B18A1">
        <w:rPr>
          <w:rFonts w:ascii="Calibri Light" w:hAnsi="Calibri Light"/>
          <w:szCs w:val="23"/>
        </w:rPr>
        <w:t xml:space="preserve"> - koszty sieci Ethernet,</w:t>
      </w:r>
      <w:r w:rsidR="008B18A1" w:rsidRPr="00E66D6F">
        <w:rPr>
          <w:rFonts w:ascii="Calibri Light" w:hAnsi="Calibri Light"/>
          <w:szCs w:val="23"/>
        </w:rPr>
        <w:t xml:space="preserve"> </w:t>
      </w:r>
      <w:r w:rsidR="008B18A1">
        <w:rPr>
          <w:rFonts w:ascii="Calibri Light" w:hAnsi="Calibri Light"/>
          <w:szCs w:val="23"/>
        </w:rPr>
        <w:t>oraz peeringu w przeliczeniu na G</w:t>
      </w:r>
      <w:r w:rsidR="00E47EF5">
        <w:rPr>
          <w:rFonts w:ascii="Calibri Light" w:hAnsi="Calibri Light"/>
          <w:szCs w:val="23"/>
        </w:rPr>
        <w:t>B</w:t>
      </w:r>
      <w:r w:rsidR="008B18A1">
        <w:rPr>
          <w:rFonts w:ascii="Calibri Light" w:hAnsi="Calibri Light"/>
          <w:szCs w:val="23"/>
        </w:rPr>
        <w:t>,</w:t>
      </w:r>
    </w:p>
    <w:p w14:paraId="5D1FE3F5" w14:textId="77777777" w:rsidR="008B18A1" w:rsidRPr="00040E01" w:rsidRDefault="0050005F" w:rsidP="00040E01">
      <w:pPr>
        <w:pStyle w:val="Akapitzlist"/>
        <w:suppressAutoHyphens/>
        <w:spacing w:before="120" w:after="120" w:line="240" w:lineRule="auto"/>
        <w:ind w:left="357"/>
        <w:contextualSpacing w:val="0"/>
        <w:jc w:val="left"/>
        <w:rPr>
          <w:rFonts w:ascii="Calibri Light" w:hAnsi="Calibri Light"/>
          <w:szCs w:val="23"/>
        </w:rPr>
      </w:pPr>
      <m:oMath>
        <m:sSub>
          <m:sSubPr>
            <m:ctrlPr>
              <w:rPr>
                <w:rFonts w:ascii="Cambria Math" w:hAnsi="Calibri Light"/>
                <w:szCs w:val="23"/>
              </w:rPr>
            </m:ctrlPr>
          </m:sSubPr>
          <m:e>
            <m:r>
              <w:rPr>
                <w:rFonts w:ascii="Cambria Math" w:hAnsi="Cambria Math"/>
                <w:szCs w:val="23"/>
              </w:rPr>
              <m:t>C</m:t>
            </m:r>
          </m:e>
          <m:sub>
            <m:r>
              <w:rPr>
                <w:rFonts w:ascii="Cambria Math" w:hAnsi="Calibri Light"/>
                <w:szCs w:val="23"/>
              </w:rPr>
              <m:t>TV</m:t>
            </m:r>
          </m:sub>
        </m:sSub>
        <m:r>
          <w:rPr>
            <w:rFonts w:ascii="Cambria Math" w:hAnsi="Cambria Math"/>
            <w:szCs w:val="23"/>
          </w:rPr>
          <m:t xml:space="preserve"> </m:t>
        </m:r>
      </m:oMath>
      <w:r w:rsidR="008B18A1">
        <w:rPr>
          <w:rFonts w:ascii="Calibri Light" w:hAnsi="Calibri Light"/>
          <w:szCs w:val="23"/>
        </w:rPr>
        <w:t>- koszty transmisji dla usług telewizyjnych w przeliczeniu na abonenta.</w:t>
      </w:r>
    </w:p>
    <w:p w14:paraId="2B791C3A" w14:textId="77777777" w:rsidR="00EC3110" w:rsidRPr="00EC3110" w:rsidRDefault="008B18A1" w:rsidP="00EC3110">
      <w:pPr>
        <w:pStyle w:val="Nagwek2"/>
      </w:pPr>
      <w:bookmarkStart w:id="62" w:name="_Toc75849047"/>
      <w:r w:rsidRPr="008B18A1">
        <w:t>Zasady wyznaczania kosztów w ramach arkusza Koszty detaliczne</w:t>
      </w:r>
      <w:bookmarkEnd w:id="62"/>
    </w:p>
    <w:p w14:paraId="603C97F6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 xml:space="preserve">Na miesięczne koszty </w:t>
      </w:r>
      <w:r>
        <w:rPr>
          <w:rFonts w:ascii="Calibri Light" w:hAnsi="Calibri Light"/>
          <w:szCs w:val="23"/>
        </w:rPr>
        <w:t>detaliczne składają się</w:t>
      </w:r>
      <w:r w:rsidRPr="00AF4616">
        <w:rPr>
          <w:rFonts w:ascii="Calibri Light" w:hAnsi="Calibri Light"/>
          <w:szCs w:val="23"/>
        </w:rPr>
        <w:t xml:space="preserve"> koszty amortyzacji, koszt kapitału zaangażowanego i koszty operacyjne. Amortyz</w:t>
      </w:r>
      <w:r>
        <w:rPr>
          <w:rFonts w:ascii="Calibri Light" w:hAnsi="Calibri Light"/>
          <w:szCs w:val="23"/>
        </w:rPr>
        <w:t>acja i koszty operacyjne powinny zostać</w:t>
      </w:r>
      <w:r w:rsidRPr="00AF4616">
        <w:rPr>
          <w:rFonts w:ascii="Calibri Light" w:hAnsi="Calibri Light"/>
          <w:szCs w:val="23"/>
        </w:rPr>
        <w:t xml:space="preserve"> określone </w:t>
      </w:r>
      <w:r>
        <w:rPr>
          <w:rFonts w:ascii="Calibri Light" w:hAnsi="Calibri Light"/>
          <w:szCs w:val="23"/>
        </w:rPr>
        <w:t xml:space="preserve">przez </w:t>
      </w:r>
      <w:r w:rsidR="00F27C39">
        <w:rPr>
          <w:rFonts w:ascii="Calibri Light" w:hAnsi="Calibri Light"/>
          <w:szCs w:val="23"/>
        </w:rPr>
        <w:t xml:space="preserve">OPL </w:t>
      </w:r>
      <w:r w:rsidRPr="00AF4616">
        <w:rPr>
          <w:rFonts w:ascii="Calibri Light" w:hAnsi="Calibri Light"/>
          <w:szCs w:val="23"/>
        </w:rPr>
        <w:t>na podstawie danych księgowych, natomiast koszt kapitału zaangażowanego zostanie wyznaczony jako iloczyn wartości księgowej netto oraz wskaźnika WACC.</w:t>
      </w:r>
      <w:r>
        <w:rPr>
          <w:rFonts w:ascii="Calibri Light" w:hAnsi="Calibri Light"/>
          <w:szCs w:val="23"/>
        </w:rPr>
        <w:t xml:space="preserve"> </w:t>
      </w:r>
    </w:p>
    <w:p w14:paraId="0F9EAFBB" w14:textId="77777777" w:rsidR="008B18A1" w:rsidRPr="00AF4616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Do tej kategorii zaliczane są koszty wszystkich procesów związanych ze sprzeda</w:t>
      </w:r>
      <w:r>
        <w:rPr>
          <w:rFonts w:ascii="Calibri Light" w:hAnsi="Calibri Light"/>
          <w:szCs w:val="23"/>
        </w:rPr>
        <w:t>żą usługi</w:t>
      </w:r>
      <w:r w:rsidR="004B4D70">
        <w:rPr>
          <w:rFonts w:ascii="Calibri Light" w:hAnsi="Calibri Light"/>
          <w:szCs w:val="23"/>
        </w:rPr>
        <w:t xml:space="preserve"> detalicznej</w:t>
      </w:r>
      <w:r>
        <w:rPr>
          <w:rFonts w:ascii="Calibri Light" w:hAnsi="Calibri Light"/>
          <w:szCs w:val="23"/>
        </w:rPr>
        <w:t xml:space="preserve"> oraz bieżącą obsługą a</w:t>
      </w:r>
      <w:r w:rsidRPr="00AF4616">
        <w:rPr>
          <w:rFonts w:ascii="Calibri Light" w:hAnsi="Calibri Light"/>
          <w:szCs w:val="23"/>
        </w:rPr>
        <w:t>bonenta. Procesy te są zawarte w jednej z poniższych kategorii:</w:t>
      </w:r>
    </w:p>
    <w:p w14:paraId="55C859F8" w14:textId="77777777" w:rsidR="008B18A1" w:rsidRPr="00AF4616" w:rsidRDefault="008B18A1" w:rsidP="00E321D2">
      <w:pPr>
        <w:pStyle w:val="Akapitzlist"/>
        <w:numPr>
          <w:ilvl w:val="1"/>
          <w:numId w:val="26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koszty pozyskania klienta</w:t>
      </w:r>
      <w:r>
        <w:rPr>
          <w:rFonts w:ascii="Calibri Light" w:hAnsi="Calibri Light"/>
          <w:szCs w:val="23"/>
        </w:rPr>
        <w:t>,</w:t>
      </w:r>
    </w:p>
    <w:p w14:paraId="0230726A" w14:textId="77777777" w:rsidR="008B18A1" w:rsidRPr="00AF4616" w:rsidRDefault="008B18A1" w:rsidP="00E321D2">
      <w:pPr>
        <w:pStyle w:val="Akapitzlist"/>
        <w:numPr>
          <w:ilvl w:val="1"/>
          <w:numId w:val="26"/>
        </w:numPr>
        <w:suppressAutoHyphens/>
        <w:spacing w:before="120" w:after="120" w:line="240" w:lineRule="auto"/>
        <w:ind w:left="714" w:hanging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lastRenderedPageBreak/>
        <w:t>marketing i reklama</w:t>
      </w:r>
      <w:r>
        <w:rPr>
          <w:rFonts w:ascii="Calibri Light" w:hAnsi="Calibri Light"/>
          <w:szCs w:val="23"/>
        </w:rPr>
        <w:t>,</w:t>
      </w:r>
    </w:p>
    <w:p w14:paraId="17A1EE87" w14:textId="77777777" w:rsidR="008B18A1" w:rsidRPr="00AF4616" w:rsidRDefault="008B18A1" w:rsidP="00E321D2">
      <w:pPr>
        <w:pStyle w:val="Akapitzlist"/>
        <w:numPr>
          <w:ilvl w:val="1"/>
          <w:numId w:val="26"/>
        </w:numPr>
        <w:suppressAutoHyphens/>
        <w:spacing w:before="120" w:after="120" w:line="240" w:lineRule="auto"/>
        <w:ind w:left="714" w:hanging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koszty ko</w:t>
      </w:r>
      <w:r w:rsidR="00197B8B">
        <w:rPr>
          <w:rFonts w:ascii="Calibri Light" w:hAnsi="Calibri Light"/>
          <w:szCs w:val="23"/>
        </w:rPr>
        <w:t>ntaktu z klientem i przyjmowania</w:t>
      </w:r>
      <w:r w:rsidRPr="00AF4616">
        <w:rPr>
          <w:rFonts w:ascii="Calibri Light" w:hAnsi="Calibri Light"/>
          <w:szCs w:val="23"/>
        </w:rPr>
        <w:t xml:space="preserve"> zgłoszeń, reklamacji</w:t>
      </w:r>
      <w:r>
        <w:rPr>
          <w:rFonts w:ascii="Calibri Light" w:hAnsi="Calibri Light"/>
          <w:szCs w:val="23"/>
        </w:rPr>
        <w:t>,</w:t>
      </w:r>
    </w:p>
    <w:p w14:paraId="3A48765B" w14:textId="77777777" w:rsidR="008B18A1" w:rsidRDefault="008B18A1" w:rsidP="00E321D2">
      <w:pPr>
        <w:pStyle w:val="Akapitzlist"/>
        <w:numPr>
          <w:ilvl w:val="1"/>
          <w:numId w:val="26"/>
        </w:numPr>
        <w:suppressAutoHyphens/>
        <w:spacing w:before="120" w:after="120" w:line="240" w:lineRule="auto"/>
        <w:ind w:left="714" w:hanging="357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koszty obsługi należności.</w:t>
      </w:r>
    </w:p>
    <w:p w14:paraId="08F14C37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Koszt pozyskania klienta uwzględnia sprzedaż bezpośrednią jak i w zakresie elektronicznych kanałów sprzedaży. W ramach sprzedaży bezpośredniej i w kanale sprzedaży elektronicznej uwzględnia się koszt obsługi sprzedaży (np. wynagrodzenia sprzedawców), koszty obsługi zamówienia, koszty premii i prowizji. </w:t>
      </w:r>
    </w:p>
    <w:p w14:paraId="2C059493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Marketing uwzględnia koszt bezpośredniego marketingu (np. wynagrodzenie pracowników działu marketingu), koszty związane z promocją i reklam</w:t>
      </w:r>
      <w:r w:rsidR="003405FB">
        <w:rPr>
          <w:rFonts w:ascii="Calibri Light" w:hAnsi="Calibri Light"/>
          <w:szCs w:val="23"/>
        </w:rPr>
        <w:t>ą oferty oraz koszty związane z </w:t>
      </w:r>
      <w:r>
        <w:rPr>
          <w:rFonts w:ascii="Calibri Light" w:hAnsi="Calibri Light"/>
          <w:szCs w:val="23"/>
        </w:rPr>
        <w:t>promocją marki.</w:t>
      </w:r>
    </w:p>
    <w:p w14:paraId="6D21A6E3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W ramach kosztów kontaktu z klientem i przyjmowania zgłoszeń reklamacji</w:t>
      </w:r>
      <w:r w:rsidR="00322EFB">
        <w:rPr>
          <w:rFonts w:ascii="Calibri Light" w:hAnsi="Calibri Light"/>
          <w:szCs w:val="23"/>
        </w:rPr>
        <w:t>,</w:t>
      </w:r>
      <w:r>
        <w:rPr>
          <w:rFonts w:ascii="Calibri Light" w:hAnsi="Calibri Light"/>
          <w:szCs w:val="23"/>
        </w:rPr>
        <w:t xml:space="preserve"> model uwzględnia koszty posprzedażowe związane z przyjęciem i realizacją zgłoszenia od klienta (np. koszty pracowników działu obsługi klienta).</w:t>
      </w:r>
    </w:p>
    <w:p w14:paraId="3F0C4A5A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Ostatnia grupa kosztów uwzględnia koszty obsługi należności, koszty obróbki danych billingowych (w odniesieniu do usługi szerokopasmowej) oraz </w:t>
      </w:r>
      <w:r w:rsidR="003405FB">
        <w:rPr>
          <w:rFonts w:ascii="Calibri Light" w:hAnsi="Calibri Light"/>
          <w:szCs w:val="23"/>
        </w:rPr>
        <w:t>złe długi (należności uznane za </w:t>
      </w:r>
      <w:r>
        <w:rPr>
          <w:rFonts w:ascii="Calibri Light" w:hAnsi="Calibri Light"/>
          <w:szCs w:val="23"/>
        </w:rPr>
        <w:t>nieściągalne).</w:t>
      </w:r>
    </w:p>
    <w:p w14:paraId="558D2A26" w14:textId="79B3E55B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Dla każdej z grup powinny zostać określone zarówno koszty operacyjne jak i koszty systemów wsparcia procesów sprzedaży i obsługi abonentów (np. CRM</w:t>
      </w:r>
      <w:r w:rsidR="008119A9">
        <w:rPr>
          <w:rStyle w:val="Odwoanieprzypisudolnego"/>
          <w:rFonts w:ascii="Calibri Light" w:hAnsi="Calibri Light"/>
          <w:szCs w:val="23"/>
        </w:rPr>
        <w:footnoteReference w:id="17"/>
      </w:r>
      <w:r>
        <w:rPr>
          <w:rFonts w:ascii="Calibri Light" w:hAnsi="Calibri Light"/>
          <w:szCs w:val="23"/>
        </w:rPr>
        <w:t>, billing).</w:t>
      </w:r>
    </w:p>
    <w:p w14:paraId="2396CA46" w14:textId="77777777" w:rsidR="008B18A1" w:rsidRDefault="008B18A1" w:rsidP="00E321D2">
      <w:pPr>
        <w:pStyle w:val="Akapitzlist"/>
        <w:numPr>
          <w:ilvl w:val="0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Koszty detaliczne w przeliczeniu na abonenta wyznaczane są w następujący sposób:</w:t>
      </w:r>
    </w:p>
    <w:p w14:paraId="6ADAAA6E" w14:textId="77777777" w:rsidR="008B18A1" w:rsidRDefault="004B4D70" w:rsidP="00E321D2">
      <w:pPr>
        <w:pStyle w:val="Akapitzlist"/>
        <w:numPr>
          <w:ilvl w:val="1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roczne </w:t>
      </w:r>
      <w:r w:rsidR="008B18A1">
        <w:rPr>
          <w:rFonts w:ascii="Calibri Light" w:hAnsi="Calibri Light"/>
          <w:szCs w:val="23"/>
        </w:rPr>
        <w:t>koszty pozyskania klienta dzielone są przez</w:t>
      </w:r>
      <w:r w:rsidR="003405FB">
        <w:rPr>
          <w:rFonts w:ascii="Calibri Light" w:hAnsi="Calibri Light"/>
          <w:szCs w:val="23"/>
        </w:rPr>
        <w:t xml:space="preserve"> liczbę abonentów pozyskanych w </w:t>
      </w:r>
      <w:r w:rsidR="008B18A1">
        <w:rPr>
          <w:rFonts w:ascii="Calibri Light" w:hAnsi="Calibri Light"/>
          <w:szCs w:val="23"/>
        </w:rPr>
        <w:t>trakcie roku oraz przez średni czas trwania umo</w:t>
      </w:r>
      <w:r w:rsidR="003405FB">
        <w:rPr>
          <w:rFonts w:ascii="Calibri Light" w:hAnsi="Calibri Light"/>
          <w:szCs w:val="23"/>
        </w:rPr>
        <w:t>wy (czas pomiędzy podpisaniem a </w:t>
      </w:r>
      <w:r w:rsidR="008B18A1">
        <w:rPr>
          <w:rFonts w:ascii="Calibri Light" w:hAnsi="Calibri Light"/>
          <w:szCs w:val="23"/>
        </w:rPr>
        <w:t>przedłużeniem lub zerwaniem umowy),</w:t>
      </w:r>
    </w:p>
    <w:p w14:paraId="61C93758" w14:textId="77777777" w:rsidR="008B18A1" w:rsidRPr="00040E01" w:rsidRDefault="004B4D70" w:rsidP="00544480">
      <w:pPr>
        <w:pStyle w:val="Akapitzlist"/>
        <w:numPr>
          <w:ilvl w:val="1"/>
          <w:numId w:val="25"/>
        </w:numPr>
        <w:suppressAutoHyphens/>
        <w:spacing w:before="120" w:after="12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roczne </w:t>
      </w:r>
      <w:r w:rsidR="008B18A1">
        <w:rPr>
          <w:rFonts w:ascii="Calibri Light" w:hAnsi="Calibri Light"/>
          <w:szCs w:val="23"/>
        </w:rPr>
        <w:t xml:space="preserve">koszty marketingu i reklamy, koszty obsługi posprzedażowej oraz koszty obsługi należności dzielone są przez średnioroczną liczę abonentów. </w:t>
      </w:r>
    </w:p>
    <w:p w14:paraId="7F5D0EB2" w14:textId="77777777" w:rsidR="00EC3110" w:rsidRPr="00EC3110" w:rsidRDefault="008B18A1" w:rsidP="00EC3110">
      <w:pPr>
        <w:pStyle w:val="Nagwek2"/>
      </w:pPr>
      <w:bookmarkStart w:id="63" w:name="_Toc75849048"/>
      <w:r w:rsidRPr="008B18A1">
        <w:t>Zasady wyznaczania rozsądnej marży w ramach arkusza Marża</w:t>
      </w:r>
      <w:bookmarkEnd w:id="63"/>
    </w:p>
    <w:p w14:paraId="3009B9CD" w14:textId="77777777" w:rsidR="008B18A1" w:rsidRDefault="008B18A1" w:rsidP="00544480">
      <w:pPr>
        <w:pStyle w:val="Akapitzlist"/>
        <w:numPr>
          <w:ilvl w:val="0"/>
          <w:numId w:val="27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 xml:space="preserve">Poziom rozsądnej marży </w:t>
      </w:r>
      <m:oMath>
        <m:r>
          <m:rPr>
            <m:sty m:val="p"/>
          </m:rPr>
          <w:rPr>
            <w:rFonts w:ascii="Cambria Math" w:hAnsi="Cambria Math"/>
            <w:szCs w:val="23"/>
          </w:rPr>
          <m:t>(RM)</m:t>
        </m:r>
      </m:oMath>
      <w:r w:rsidRPr="00AF4616">
        <w:rPr>
          <w:rFonts w:ascii="Calibri Light" w:hAnsi="Calibri Light"/>
          <w:szCs w:val="23"/>
        </w:rPr>
        <w:t xml:space="preserve"> jest równy kosztowi kapitału zaangażowanego w zapewnienie środków trwałych uczestniczących w obsłudze detalicznej </w:t>
      </w:r>
      <w:r w:rsidR="009408D4">
        <w:rPr>
          <w:rFonts w:ascii="Calibri Light" w:hAnsi="Calibri Light"/>
          <w:szCs w:val="23"/>
        </w:rPr>
        <w:t>a</w:t>
      </w:r>
      <w:r>
        <w:rPr>
          <w:rFonts w:ascii="Calibri Light" w:hAnsi="Calibri Light"/>
          <w:szCs w:val="23"/>
        </w:rPr>
        <w:t>bonentów oraz zaangażowanych w </w:t>
      </w:r>
      <w:r w:rsidRPr="00AF4616">
        <w:rPr>
          <w:rFonts w:ascii="Calibri Light" w:hAnsi="Calibri Light"/>
          <w:szCs w:val="23"/>
        </w:rPr>
        <w:t xml:space="preserve">infrastrukturę sieciową </w:t>
      </w:r>
      <w:r w:rsidR="00720DB7">
        <w:rPr>
          <w:rFonts w:ascii="Calibri Light" w:hAnsi="Calibri Light"/>
          <w:szCs w:val="23"/>
        </w:rPr>
        <w:t>OA</w:t>
      </w:r>
      <w:r w:rsidRPr="00AF4616">
        <w:rPr>
          <w:rFonts w:ascii="Calibri Light" w:hAnsi="Calibri Light"/>
          <w:szCs w:val="23"/>
        </w:rPr>
        <w:t>. Wzór dla RM przedstawia się następująco:</w:t>
      </w:r>
    </w:p>
    <w:p w14:paraId="0029C01F" w14:textId="77777777" w:rsidR="00AC7A3C" w:rsidRPr="00AF4616" w:rsidRDefault="00AC7A3C" w:rsidP="00AC7A3C">
      <w:pPr>
        <w:pStyle w:val="Akapitzlist"/>
        <w:suppressAutoHyphens/>
        <w:spacing w:before="120" w:after="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</w:p>
    <w:p w14:paraId="5CBC2626" w14:textId="77777777" w:rsidR="008B18A1" w:rsidRPr="00D33DF8" w:rsidRDefault="008B18A1" w:rsidP="00792964">
      <w:pPr>
        <w:rPr>
          <w:rFonts w:ascii="Calibri Light" w:hAnsi="Calibri Light"/>
        </w:rPr>
      </w:pPr>
      <w:bookmarkStart w:id="64" w:name="_Toc494796623"/>
      <m:oMathPara>
        <m:oMath>
          <m:r>
            <w:rPr>
              <w:rFonts w:ascii="Cambria Math" w:hAnsi="Cambria Math"/>
            </w:rPr>
            <m:t>RM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NBV</m:t>
          </m:r>
          <m:r>
            <m:rPr>
              <m:sty m:val="p"/>
            </m:rP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WACC</m:t>
          </m:r>
        </m:oMath>
      </m:oMathPara>
      <w:bookmarkEnd w:id="64"/>
    </w:p>
    <w:p w14:paraId="3910652F" w14:textId="77777777" w:rsidR="00AC7A3C" w:rsidRPr="007A6EF2" w:rsidRDefault="00AC7A3C" w:rsidP="00AC7A3C">
      <w:pPr>
        <w:pStyle w:val="Akapitzlist"/>
        <w:ind w:left="360"/>
        <w:jc w:val="left"/>
        <w:rPr>
          <w:rFonts w:ascii="Calibri Light" w:hAnsi="Calibri Light"/>
          <w:szCs w:val="23"/>
        </w:rPr>
      </w:pPr>
      <w:r w:rsidRPr="00AF4616">
        <w:rPr>
          <w:rFonts w:ascii="Calibri Light" w:hAnsi="Calibri Light"/>
          <w:szCs w:val="23"/>
        </w:rPr>
        <w:t>Gdzie:</w:t>
      </w:r>
    </w:p>
    <w:p w14:paraId="45069B15" w14:textId="77777777" w:rsidR="008B18A1" w:rsidRPr="00FD4936" w:rsidRDefault="008B18A1" w:rsidP="00040E01">
      <w:pPr>
        <w:spacing w:after="0" w:line="240" w:lineRule="auto"/>
        <w:ind w:left="340"/>
        <w:jc w:val="left"/>
        <w:rPr>
          <w:rFonts w:ascii="Calibri Light" w:hAnsi="Calibri Light"/>
          <w:szCs w:val="23"/>
        </w:rPr>
      </w:pPr>
      <m:oMath>
        <m:r>
          <w:rPr>
            <w:rFonts w:ascii="Cambria Math" w:hAnsi="Cambria Math"/>
          </w:rPr>
          <m:t>NBV</m:t>
        </m:r>
      </m:oMath>
      <w:r w:rsidRPr="00792964">
        <w:t xml:space="preserve"> – Wartość Księgowa Netto środków trwałych zaang</w:t>
      </w:r>
      <w:r w:rsidR="003405FB">
        <w:t xml:space="preserve">ażowanych w świadczenie </w:t>
      </w:r>
      <w:r w:rsidR="00D6657E">
        <w:t>Usług</w:t>
      </w:r>
      <w:r w:rsidR="007C2C05">
        <w:t xml:space="preserve"> hurtowych </w:t>
      </w:r>
      <w:r w:rsidR="003405FB">
        <w:t>w </w:t>
      </w:r>
      <w:r w:rsidRPr="00792964">
        <w:t>zależności od poziomu dostępu hurtowego</w:t>
      </w:r>
      <w:r w:rsidR="00EC3110">
        <w:rPr>
          <w:rFonts w:ascii="Calibri Light" w:hAnsi="Calibri Light"/>
          <w:szCs w:val="23"/>
        </w:rPr>
        <w:t>,</w:t>
      </w:r>
    </w:p>
    <w:p w14:paraId="29785AC2" w14:textId="77777777" w:rsidR="008B18A1" w:rsidRDefault="008B18A1" w:rsidP="004C6F39">
      <w:pPr>
        <w:pStyle w:val="Akapitzlist"/>
        <w:suppressAutoHyphens/>
        <w:spacing w:after="0" w:line="240" w:lineRule="auto"/>
        <w:ind w:left="360"/>
        <w:contextualSpacing w:val="0"/>
        <w:jc w:val="left"/>
        <w:rPr>
          <w:rFonts w:ascii="Calibri Light" w:hAnsi="Calibri Light"/>
          <w:szCs w:val="23"/>
        </w:rPr>
      </w:pPr>
      <m:oMath>
        <m:r>
          <w:rPr>
            <w:rFonts w:ascii="Cambria Math" w:hAnsi="Cambria Math"/>
            <w:szCs w:val="23"/>
          </w:rPr>
          <m:t>WACC</m:t>
        </m:r>
      </m:oMath>
      <w:r>
        <w:rPr>
          <w:rFonts w:ascii="Calibri Light" w:hAnsi="Calibri Light"/>
          <w:szCs w:val="23"/>
        </w:rPr>
        <w:t xml:space="preserve"> - wskaźnik</w:t>
      </w:r>
      <w:r w:rsidRPr="00AF4616">
        <w:rPr>
          <w:rFonts w:ascii="Calibri Light" w:hAnsi="Calibri Light"/>
          <w:szCs w:val="23"/>
        </w:rPr>
        <w:t xml:space="preserve"> WACC</w:t>
      </w:r>
      <w:r>
        <w:rPr>
          <w:rFonts w:ascii="Calibri Light" w:hAnsi="Calibri Light"/>
          <w:szCs w:val="23"/>
        </w:rPr>
        <w:t xml:space="preserve"> określony przez Prezesa UKE</w:t>
      </w:r>
      <w:r w:rsidRPr="00AF4616">
        <w:rPr>
          <w:rFonts w:ascii="Calibri Light" w:hAnsi="Calibri Light"/>
          <w:szCs w:val="23"/>
        </w:rPr>
        <w:t>.</w:t>
      </w:r>
    </w:p>
    <w:p w14:paraId="093E8E0F" w14:textId="77777777" w:rsidR="008B18A1" w:rsidRPr="00040E01" w:rsidRDefault="008B18A1" w:rsidP="00792964">
      <w:pPr>
        <w:pStyle w:val="Akapitzlist"/>
        <w:numPr>
          <w:ilvl w:val="0"/>
          <w:numId w:val="27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Arkusz Marża prezentuje wartości rozsądnych marż w układzie rodzajów opcji i poziomów dostępów.</w:t>
      </w:r>
    </w:p>
    <w:p w14:paraId="3FDC9729" w14:textId="77777777" w:rsidR="00EC3110" w:rsidRPr="00EC3110" w:rsidRDefault="008B18A1" w:rsidP="00EC3110">
      <w:pPr>
        <w:pStyle w:val="Nagwek2"/>
      </w:pPr>
      <w:bookmarkStart w:id="65" w:name="_Toc75849049"/>
      <w:r w:rsidRPr="008B18A1">
        <w:t>Arkusz Wynik</w:t>
      </w:r>
      <w:bookmarkEnd w:id="65"/>
    </w:p>
    <w:p w14:paraId="0C9FE533" w14:textId="77777777" w:rsidR="008B18A1" w:rsidRDefault="008B18A1" w:rsidP="00544480">
      <w:pPr>
        <w:pStyle w:val="Akapitzlist"/>
        <w:numPr>
          <w:ilvl w:val="0"/>
          <w:numId w:val="2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>Arkusz Wynik</w:t>
      </w:r>
      <w:r w:rsidRPr="00686936">
        <w:rPr>
          <w:rFonts w:ascii="Calibri Light" w:hAnsi="Calibri Light"/>
          <w:szCs w:val="23"/>
        </w:rPr>
        <w:t xml:space="preserve"> służy do przeprowadzenia obliczeń zgodnie z podstawową zależnością opisaną w </w:t>
      </w:r>
      <w:r w:rsidRPr="00E321D2">
        <w:rPr>
          <w:rFonts w:ascii="Calibri Light" w:hAnsi="Calibri Light"/>
          <w:szCs w:val="23"/>
        </w:rPr>
        <w:t>rozdziale 3.</w:t>
      </w:r>
      <w:r w:rsidRPr="00686936">
        <w:rPr>
          <w:rFonts w:ascii="Calibri Light" w:hAnsi="Calibri Light"/>
          <w:szCs w:val="23"/>
        </w:rPr>
        <w:t xml:space="preserve"> W arku</w:t>
      </w:r>
      <w:r>
        <w:rPr>
          <w:rFonts w:ascii="Calibri Light" w:hAnsi="Calibri Light"/>
          <w:szCs w:val="23"/>
        </w:rPr>
        <w:t>szu tym nie są wprowadzane</w:t>
      </w:r>
      <w:r w:rsidRPr="00686936">
        <w:rPr>
          <w:rFonts w:ascii="Calibri Light" w:hAnsi="Calibri Light"/>
          <w:szCs w:val="23"/>
        </w:rPr>
        <w:t xml:space="preserve"> d</w:t>
      </w:r>
      <w:r w:rsidR="003405FB">
        <w:rPr>
          <w:rFonts w:ascii="Calibri Light" w:hAnsi="Calibri Light"/>
          <w:szCs w:val="23"/>
        </w:rPr>
        <w:t>ane wejściowe – arkusz służy do </w:t>
      </w:r>
      <w:r w:rsidRPr="00686936">
        <w:rPr>
          <w:rFonts w:ascii="Calibri Light" w:hAnsi="Calibri Light"/>
          <w:szCs w:val="23"/>
        </w:rPr>
        <w:t xml:space="preserve">przeprowadzenia Testu </w:t>
      </w:r>
      <w:r w:rsidR="008D06B2">
        <w:rPr>
          <w:rFonts w:ascii="Calibri Light" w:hAnsi="Calibri Light"/>
          <w:szCs w:val="23"/>
        </w:rPr>
        <w:t>ERT</w:t>
      </w:r>
      <w:r w:rsidR="008D06B2" w:rsidRPr="00686936">
        <w:rPr>
          <w:rFonts w:ascii="Calibri Light" w:hAnsi="Calibri Light"/>
          <w:szCs w:val="23"/>
        </w:rPr>
        <w:t xml:space="preserve"> </w:t>
      </w:r>
      <w:r>
        <w:rPr>
          <w:rFonts w:ascii="Calibri Light" w:hAnsi="Calibri Light"/>
          <w:szCs w:val="23"/>
        </w:rPr>
        <w:t>przy wykorzystaniu wartości wyznaczonych w poprzednich arkuszach.</w:t>
      </w:r>
    </w:p>
    <w:p w14:paraId="6D289F2E" w14:textId="09788A40" w:rsidR="008B18A1" w:rsidRPr="00033A1F" w:rsidRDefault="008B18A1" w:rsidP="00544480">
      <w:pPr>
        <w:pStyle w:val="Akapitzlist"/>
        <w:numPr>
          <w:ilvl w:val="0"/>
          <w:numId w:val="28"/>
        </w:numPr>
        <w:suppressAutoHyphens/>
        <w:spacing w:before="120" w:after="0" w:line="240" w:lineRule="auto"/>
        <w:contextualSpacing w:val="0"/>
        <w:jc w:val="left"/>
        <w:rPr>
          <w:rFonts w:ascii="Calibri Light" w:hAnsi="Calibri Light"/>
          <w:szCs w:val="23"/>
        </w:rPr>
      </w:pPr>
      <w:r>
        <w:rPr>
          <w:rFonts w:ascii="Calibri Light" w:hAnsi="Calibri Light"/>
          <w:szCs w:val="23"/>
        </w:rPr>
        <w:t xml:space="preserve">Wyniki są prezentowane w podziale na poziom dostępu hurtowego i opcje usług detalicznych (w pakiecie). Test </w:t>
      </w:r>
      <w:r w:rsidR="00F27C39">
        <w:rPr>
          <w:rFonts w:ascii="Calibri Light" w:hAnsi="Calibri Light"/>
          <w:szCs w:val="23"/>
        </w:rPr>
        <w:t xml:space="preserve">ERT </w:t>
      </w:r>
      <w:r>
        <w:rPr>
          <w:rFonts w:ascii="Calibri Light" w:hAnsi="Calibri Light"/>
          <w:szCs w:val="23"/>
        </w:rPr>
        <w:t xml:space="preserve">przeprowadzany jest </w:t>
      </w:r>
      <w:r w:rsidR="003405FB">
        <w:rPr>
          <w:rFonts w:ascii="Calibri Light" w:hAnsi="Calibri Light"/>
          <w:szCs w:val="23"/>
        </w:rPr>
        <w:t>dla poziomu dostępu</w:t>
      </w:r>
      <w:r>
        <w:rPr>
          <w:rFonts w:ascii="Calibri Light" w:hAnsi="Calibri Light"/>
          <w:szCs w:val="23"/>
        </w:rPr>
        <w:t xml:space="preserve"> Ethernet oraz IP Niezarządzany</w:t>
      </w:r>
      <w:r w:rsidR="008119A9">
        <w:rPr>
          <w:rFonts w:ascii="Calibri Light" w:hAnsi="Calibri Light"/>
          <w:szCs w:val="23"/>
        </w:rPr>
        <w:t>.</w:t>
      </w:r>
      <w:r>
        <w:rPr>
          <w:rFonts w:ascii="Calibri Light" w:hAnsi="Calibri Light"/>
          <w:szCs w:val="23"/>
        </w:rPr>
        <w:t xml:space="preserve"> </w:t>
      </w:r>
    </w:p>
    <w:bookmarkEnd w:id="3"/>
    <w:bookmarkEnd w:id="4"/>
    <w:bookmarkEnd w:id="5"/>
    <w:p w14:paraId="4A6F96C1" w14:textId="77777777" w:rsidR="00CF4012" w:rsidRPr="000C15E1" w:rsidRDefault="00CF4012" w:rsidP="003E0182">
      <w:pPr>
        <w:jc w:val="left"/>
        <w:rPr>
          <w:rFonts w:ascii="Calibri Light" w:eastAsia="Calibri" w:hAnsi="Calibri Light" w:cs="Times New Roman"/>
        </w:rPr>
      </w:pPr>
    </w:p>
    <w:p w14:paraId="35F74B72" w14:textId="77777777" w:rsidR="00197B8B" w:rsidRDefault="00197B8B">
      <w:pPr>
        <w:jc w:val="left"/>
        <w:rPr>
          <w:rFonts w:ascii="Calibri Light" w:eastAsia="Calibri" w:hAnsi="Calibri Light" w:cs="Times New Roman"/>
        </w:rPr>
      </w:pPr>
      <w:r>
        <w:rPr>
          <w:rFonts w:ascii="Calibri Light" w:eastAsia="Calibri" w:hAnsi="Calibri Light" w:cs="Times New Roman"/>
        </w:rPr>
        <w:br w:type="page"/>
      </w:r>
    </w:p>
    <w:p w14:paraId="6B162C61" w14:textId="7FBFD7A7" w:rsidR="00CF4012" w:rsidRPr="003E3916" w:rsidRDefault="00AF563F" w:rsidP="003E0182">
      <w:pPr>
        <w:jc w:val="left"/>
        <w:rPr>
          <w:rFonts w:ascii="Calibri Light" w:eastAsia="Calibri" w:hAnsi="Calibri Light" w:cs="Times New Roman"/>
        </w:rPr>
      </w:pPr>
      <w:r w:rsidRPr="00AF563F">
        <w:rPr>
          <w:rFonts w:ascii="Calibri Light" w:eastAsia="Calibri" w:hAnsi="Calibri Light" w:cs="Times New Roman"/>
          <w:noProof/>
          <w:lang w:eastAsia="pl-PL"/>
        </w:rPr>
        <w:lastRenderedPageBreak/>
        <w:drawing>
          <wp:anchor distT="0" distB="0" distL="114300" distR="114300" simplePos="0" relativeHeight="251668480" behindDoc="0" locked="0" layoutInCell="1" allowOverlap="1" wp14:anchorId="08980B04" wp14:editId="4BEB4B2E">
            <wp:simplePos x="0" y="0"/>
            <wp:positionH relativeFrom="margin">
              <wp:posOffset>-908685</wp:posOffset>
            </wp:positionH>
            <wp:positionV relativeFrom="margin">
              <wp:posOffset>-1440815</wp:posOffset>
            </wp:positionV>
            <wp:extent cx="7564120" cy="10688955"/>
            <wp:effectExtent l="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ylna okladka_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4120" cy="1068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1A36">
        <w:rPr>
          <w:rFonts w:ascii="Calibri Light" w:eastAsia="Calibri" w:hAnsi="Calibri Light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AFFC6E" wp14:editId="5820DCB4">
                <wp:simplePos x="0" y="0"/>
                <wp:positionH relativeFrom="page">
                  <wp:posOffset>-43815</wp:posOffset>
                </wp:positionH>
                <wp:positionV relativeFrom="margin">
                  <wp:posOffset>6717665</wp:posOffset>
                </wp:positionV>
                <wp:extent cx="7595870" cy="2830830"/>
                <wp:effectExtent l="0" t="0" r="0" b="0"/>
                <wp:wrapSquare wrapText="bothSides"/>
                <wp:docPr id="18" name="Pole tekstow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7595870" cy="283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389B8" w14:textId="77777777" w:rsidR="000C5EDD" w:rsidRPr="00F770CE" w:rsidRDefault="000C5EDD" w:rsidP="00AF563F">
                            <w:pPr>
                              <w:pStyle w:val="stopkapierwszastrona"/>
                              <w:jc w:val="right"/>
                              <w:rPr>
                                <w:rFonts w:asciiTheme="minorHAnsi" w:hAnsiTheme="minorHAnsi"/>
                                <w:b/>
                                <w:color w:val="C7D540" w:themeColor="accent2"/>
                                <w:sz w:val="40"/>
                                <w:szCs w:val="40"/>
                              </w:rPr>
                            </w:pPr>
                            <w:r w:rsidRPr="00F770CE">
                              <w:rPr>
                                <w:rFonts w:asciiTheme="minorHAnsi" w:hAnsiTheme="minorHAnsi"/>
                                <w:b/>
                                <w:color w:val="C7D540" w:themeColor="accent2"/>
                                <w:sz w:val="40"/>
                                <w:szCs w:val="40"/>
                              </w:rPr>
                              <w:t>www.uke.gov.pl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00000" bIns="936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FC6E" id="Pole tekstowe 18" o:spid="_x0000_s1027" type="#_x0000_t202" style="position:absolute;margin-left:-3.45pt;margin-top:528.95pt;width:598.1pt;height:222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" filled="f" stroked="f">
                <v:path arrowok="t"/>
                <o:lock v:ext="edit" aspectratio="t"/>
                <v:textbox inset="0,0,25mm,26mm">
                  <w:txbxContent>
                    <w:p w14:paraId="0D4389B8" w14:textId="77777777" w:rsidR="000C5EDD" w:rsidRPr="00F770CE" w:rsidRDefault="000C5EDD" w:rsidP="00AF563F">
                      <w:pPr>
                        <w:pStyle w:val="stopkapierwszastrona"/>
                        <w:jc w:val="right"/>
                        <w:rPr>
                          <w:rFonts w:asciiTheme="minorHAnsi" w:hAnsiTheme="minorHAnsi"/>
                          <w:b/>
                          <w:color w:val="C7D540" w:themeColor="accent2"/>
                          <w:sz w:val="40"/>
                          <w:szCs w:val="40"/>
                        </w:rPr>
                      </w:pPr>
                      <w:r w:rsidRPr="00F770CE">
                        <w:rPr>
                          <w:rFonts w:asciiTheme="minorHAnsi" w:hAnsiTheme="minorHAnsi"/>
                          <w:b/>
                          <w:color w:val="C7D540" w:themeColor="accent2"/>
                          <w:sz w:val="40"/>
                          <w:szCs w:val="40"/>
                        </w:rPr>
                        <w:t>www.uke.gov.pl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AE1A36">
        <w:rPr>
          <w:rFonts w:ascii="Calibri Light" w:eastAsia="Calibri" w:hAnsi="Calibri Light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73BDD6" wp14:editId="79C8C786">
                <wp:simplePos x="0" y="0"/>
                <wp:positionH relativeFrom="page">
                  <wp:posOffset>53975</wp:posOffset>
                </wp:positionH>
                <wp:positionV relativeFrom="paragraph">
                  <wp:posOffset>297180</wp:posOffset>
                </wp:positionV>
                <wp:extent cx="5624830" cy="3590925"/>
                <wp:effectExtent l="0" t="0" r="13970" b="9525"/>
                <wp:wrapSquare wrapText="bothSides"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4830" cy="359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993F7" w14:textId="77777777" w:rsidR="000C5EDD" w:rsidRPr="00613B8A" w:rsidRDefault="000C5EDD" w:rsidP="00AF563F">
                            <w:pPr>
                              <w:spacing w:after="20" w:line="480" w:lineRule="auto"/>
                              <w:jc w:val="left"/>
                              <w:rPr>
                                <w:b/>
                                <w:color w:val="4A4A49" w:themeColor="text2"/>
                                <w:sz w:val="21"/>
                                <w:szCs w:val="21"/>
                              </w:rPr>
                            </w:pPr>
                            <w:r w:rsidRPr="00613B8A">
                              <w:rPr>
                                <w:b/>
                                <w:color w:val="4A4A49" w:themeColor="text2"/>
                                <w:sz w:val="21"/>
                                <w:szCs w:val="21"/>
                              </w:rPr>
                              <w:t>Urząd Komunikacji Elektronicznej</w:t>
                            </w:r>
                          </w:p>
                          <w:p w14:paraId="635FED9F" w14:textId="655999D8" w:rsidR="000C5EDD" w:rsidRPr="00525F63" w:rsidRDefault="000C5EDD" w:rsidP="008F421F">
                            <w:pPr>
                              <w:spacing w:after="60" w:line="240" w:lineRule="auto"/>
                              <w:jc w:val="left"/>
                              <w:rPr>
                                <w:color w:val="4A4A49" w:themeColor="text2"/>
                                <w:sz w:val="21"/>
                                <w:szCs w:val="21"/>
                              </w:rPr>
                            </w:pPr>
                            <w:r w:rsidRPr="00525F63">
                              <w:rPr>
                                <w:color w:val="4A4A49" w:themeColor="text2"/>
                                <w:sz w:val="21"/>
                                <w:szCs w:val="21"/>
                              </w:rPr>
                              <w:t>Departament Regulacji</w:t>
                            </w:r>
                          </w:p>
                          <w:p w14:paraId="722BE10C" w14:textId="77777777" w:rsidR="000C5EDD" w:rsidRPr="00525F63" w:rsidRDefault="000C5EDD" w:rsidP="008F421F">
                            <w:pPr>
                              <w:spacing w:after="60" w:line="240" w:lineRule="auto"/>
                              <w:jc w:val="left"/>
                              <w:rPr>
                                <w:color w:val="4A4A49" w:themeColor="text2"/>
                                <w:sz w:val="21"/>
                                <w:szCs w:val="21"/>
                              </w:rPr>
                            </w:pPr>
                            <w:r w:rsidRPr="00525F63">
                              <w:rPr>
                                <w:color w:val="4A4A49" w:themeColor="text2"/>
                                <w:sz w:val="21"/>
                                <w:szCs w:val="21"/>
                              </w:rPr>
                              <w:t>T  +48 22 534 9440</w:t>
                            </w:r>
                          </w:p>
                          <w:p w14:paraId="186585F8" w14:textId="77777777" w:rsidR="000C5EDD" w:rsidRPr="00916883" w:rsidRDefault="000C5EDD" w:rsidP="008F421F">
                            <w:pPr>
                              <w:spacing w:after="60" w:line="240" w:lineRule="auto"/>
                              <w:jc w:val="left"/>
                              <w:rPr>
                                <w:color w:val="4A4A49" w:themeColor="text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916883">
                              <w:rPr>
                                <w:color w:val="4A4A49" w:themeColor="text2"/>
                                <w:sz w:val="21"/>
                                <w:szCs w:val="21"/>
                                <w:lang w:val="en-US"/>
                              </w:rPr>
                              <w:t>F  +48 22 534 9306</w:t>
                            </w:r>
                          </w:p>
                          <w:p w14:paraId="09D13145" w14:textId="77777777" w:rsidR="000C5EDD" w:rsidRPr="00916883" w:rsidRDefault="000C5EDD" w:rsidP="008F421F">
                            <w:pPr>
                              <w:spacing w:after="0" w:line="480" w:lineRule="auto"/>
                              <w:jc w:val="left"/>
                              <w:rPr>
                                <w:color w:val="4A4A49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916883">
                              <w:rPr>
                                <w:color w:val="4A4A49"/>
                                <w:sz w:val="21"/>
                                <w:szCs w:val="21"/>
                                <w:lang w:val="en-US"/>
                              </w:rPr>
                              <w:t>sekretariat.dr@uke.gov.pl</w:t>
                            </w:r>
                          </w:p>
                          <w:p w14:paraId="395BE40E" w14:textId="77777777" w:rsidR="000C5EDD" w:rsidRPr="00916883" w:rsidRDefault="000C5EDD" w:rsidP="008F421F">
                            <w:pPr>
                              <w:spacing w:after="0" w:line="480" w:lineRule="auto"/>
                              <w:jc w:val="left"/>
                              <w:rPr>
                                <w:color w:val="4A4A49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36000" tIns="720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3BDD6" id="Pole tekstowe 19" o:spid="_x0000_s1028" type="#_x0000_t202" style="position:absolute;margin-left:4.25pt;margin-top:23.4pt;width:442.9pt;height:282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" filled="f" stroked="f">
                <v:path arrowok="t"/>
                <v:textbox inset="26mm,20mm,0,0">
                  <w:txbxContent>
                    <w:p w14:paraId="72D993F7" w14:textId="77777777" w:rsidR="000C5EDD" w:rsidRPr="00613B8A" w:rsidRDefault="000C5EDD" w:rsidP="00AF563F">
                      <w:pPr>
                        <w:spacing w:after="20" w:line="480" w:lineRule="auto"/>
                        <w:jc w:val="left"/>
                        <w:rPr>
                          <w:b/>
                          <w:color w:val="4A4A49" w:themeColor="text2"/>
                          <w:sz w:val="21"/>
                          <w:szCs w:val="21"/>
                        </w:rPr>
                      </w:pPr>
                      <w:r w:rsidRPr="00613B8A">
                        <w:rPr>
                          <w:b/>
                          <w:color w:val="4A4A49" w:themeColor="text2"/>
                          <w:sz w:val="21"/>
                          <w:szCs w:val="21"/>
                        </w:rPr>
                        <w:t>Urząd Komunikacji Elektronicznej</w:t>
                      </w:r>
                    </w:p>
                    <w:p w14:paraId="635FED9F" w14:textId="655999D8" w:rsidR="000C5EDD" w:rsidRPr="00525F63" w:rsidRDefault="000C5EDD" w:rsidP="008F421F">
                      <w:pPr>
                        <w:spacing w:after="60" w:line="240" w:lineRule="auto"/>
                        <w:jc w:val="left"/>
                        <w:rPr>
                          <w:color w:val="4A4A49" w:themeColor="text2"/>
                          <w:sz w:val="21"/>
                          <w:szCs w:val="21"/>
                        </w:rPr>
                      </w:pPr>
                      <w:r w:rsidRPr="00525F63">
                        <w:rPr>
                          <w:color w:val="4A4A49" w:themeColor="text2"/>
                          <w:sz w:val="21"/>
                          <w:szCs w:val="21"/>
                        </w:rPr>
                        <w:t>Departament Regulacji</w:t>
                      </w:r>
                    </w:p>
                    <w:p w14:paraId="722BE10C" w14:textId="77777777" w:rsidR="000C5EDD" w:rsidRPr="00525F63" w:rsidRDefault="000C5EDD" w:rsidP="008F421F">
                      <w:pPr>
                        <w:spacing w:after="60" w:line="240" w:lineRule="auto"/>
                        <w:jc w:val="left"/>
                        <w:rPr>
                          <w:color w:val="4A4A49" w:themeColor="text2"/>
                          <w:sz w:val="21"/>
                          <w:szCs w:val="21"/>
                        </w:rPr>
                      </w:pPr>
                      <w:r w:rsidRPr="00525F63">
                        <w:rPr>
                          <w:color w:val="4A4A49" w:themeColor="text2"/>
                          <w:sz w:val="21"/>
                          <w:szCs w:val="21"/>
                        </w:rPr>
                        <w:t>T  +48 22 534 9440</w:t>
                      </w:r>
                    </w:p>
                    <w:p w14:paraId="186585F8" w14:textId="77777777" w:rsidR="000C5EDD" w:rsidRPr="00916883" w:rsidRDefault="000C5EDD" w:rsidP="008F421F">
                      <w:pPr>
                        <w:spacing w:after="60" w:line="240" w:lineRule="auto"/>
                        <w:jc w:val="left"/>
                        <w:rPr>
                          <w:color w:val="4A4A49" w:themeColor="text2"/>
                          <w:sz w:val="21"/>
                          <w:szCs w:val="21"/>
                          <w:lang w:val="en-US"/>
                        </w:rPr>
                      </w:pPr>
                      <w:r w:rsidRPr="00916883">
                        <w:rPr>
                          <w:color w:val="4A4A49" w:themeColor="text2"/>
                          <w:sz w:val="21"/>
                          <w:szCs w:val="21"/>
                          <w:lang w:val="en-US"/>
                        </w:rPr>
                        <w:t>F  +48 22 534 9306</w:t>
                      </w:r>
                    </w:p>
                    <w:p w14:paraId="09D13145" w14:textId="77777777" w:rsidR="000C5EDD" w:rsidRPr="00916883" w:rsidRDefault="000C5EDD" w:rsidP="008F421F">
                      <w:pPr>
                        <w:spacing w:after="0" w:line="480" w:lineRule="auto"/>
                        <w:jc w:val="left"/>
                        <w:rPr>
                          <w:color w:val="4A4A49"/>
                          <w:sz w:val="21"/>
                          <w:szCs w:val="21"/>
                          <w:lang w:val="en-US"/>
                        </w:rPr>
                      </w:pPr>
                      <w:r w:rsidRPr="00916883">
                        <w:rPr>
                          <w:color w:val="4A4A49"/>
                          <w:sz w:val="21"/>
                          <w:szCs w:val="21"/>
                          <w:lang w:val="en-US"/>
                        </w:rPr>
                        <w:t>sekretariat.dr@uke.gov.pl</w:t>
                      </w:r>
                    </w:p>
                    <w:p w14:paraId="395BE40E" w14:textId="77777777" w:rsidR="000C5EDD" w:rsidRPr="00916883" w:rsidRDefault="000C5EDD" w:rsidP="008F421F">
                      <w:pPr>
                        <w:spacing w:after="0" w:line="480" w:lineRule="auto"/>
                        <w:jc w:val="left"/>
                        <w:rPr>
                          <w:color w:val="4A4A49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CF4012" w:rsidRPr="003E3916" w:rsidSect="00F43C00">
      <w:footerReference w:type="default" r:id="rId14"/>
      <w:headerReference w:type="first" r:id="rId15"/>
      <w:pgSz w:w="11906" w:h="16838"/>
      <w:pgMar w:top="2268" w:right="1418" w:bottom="1985" w:left="1418" w:header="709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E08F7" w14:textId="77777777" w:rsidR="0088400C" w:rsidRDefault="0088400C" w:rsidP="006D7E47">
      <w:pPr>
        <w:spacing w:after="0" w:line="240" w:lineRule="auto"/>
      </w:pPr>
      <w:r>
        <w:separator/>
      </w:r>
    </w:p>
  </w:endnote>
  <w:endnote w:type="continuationSeparator" w:id="0">
    <w:p w14:paraId="71E15DA1" w14:textId="77777777" w:rsidR="0088400C" w:rsidRDefault="0088400C" w:rsidP="006D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CB232" w14:textId="6078EDEA" w:rsidR="000C5EDD" w:rsidRDefault="00AE1A36" w:rsidP="00125DCB">
    <w:pPr>
      <w:pStyle w:val="Stopka"/>
      <w:jc w:val="right"/>
      <w:rPr>
        <w:color w:val="4A4A49" w:themeColor="text2"/>
        <w:sz w:val="18"/>
        <w:szCs w:val="18"/>
      </w:rPr>
    </w:pPr>
    <w:r>
      <w:rPr>
        <w:noProof/>
        <w:color w:val="252524" w:themeColor="accent3" w:themeShade="80"/>
        <w:sz w:val="20"/>
        <w:szCs w:val="20"/>
        <w:lang w:eastAsia="pl-PL"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71D34030" wp14:editId="5582B1CD">
              <wp:simplePos x="0" y="0"/>
              <wp:positionH relativeFrom="margin">
                <wp:posOffset>635</wp:posOffset>
              </wp:positionH>
              <wp:positionV relativeFrom="paragraph">
                <wp:posOffset>-114936</wp:posOffset>
              </wp:positionV>
              <wp:extent cx="5760085" cy="0"/>
              <wp:effectExtent l="0" t="0" r="1206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ln>
                        <a:solidFill>
                          <a:srgbClr val="C7D54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A58564" id="Łącznik prosty 1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.05pt,-9.05pt" to="453.6pt,-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" strokecolor="#c7d540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0C5EDD" w:rsidRPr="0035383B">
      <w:rPr>
        <w:color w:val="252524" w:themeColor="accent3" w:themeShade="80"/>
        <w:sz w:val="20"/>
        <w:szCs w:val="20"/>
      </w:rPr>
      <w:t>Opis narzędzia Test ERT - Orange Polska S.A.</w:t>
    </w:r>
    <w:r w:rsidR="000C5EDD" w:rsidRPr="00125DCB">
      <w:rPr>
        <w:color w:val="4A4A49" w:themeColor="text2"/>
        <w:sz w:val="18"/>
        <w:szCs w:val="18"/>
      </w:rPr>
      <w:ptab w:relativeTo="margin" w:alignment="right" w:leader="none"/>
    </w:r>
    <w:r w:rsidR="000C5EDD" w:rsidRPr="0035383B">
      <w:rPr>
        <w:color w:val="4A4A49" w:themeColor="text2"/>
      </w:rPr>
      <w:t xml:space="preserve"> </w:t>
    </w:r>
    <w:sdt>
      <w:sdtPr>
        <w:rPr>
          <w:color w:val="4A4A49" w:themeColor="text2"/>
        </w:rPr>
        <w:id w:val="-1480297262"/>
        <w:docPartObj>
          <w:docPartGallery w:val="Page Numbers (Top of Page)"/>
          <w:docPartUnique/>
        </w:docPartObj>
      </w:sdtPr>
      <w:sdtEndPr>
        <w:rPr>
          <w:sz w:val="18"/>
          <w:szCs w:val="18"/>
        </w:rPr>
      </w:sdtEndPr>
      <w:sdtContent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begin"/>
        </w:r>
        <w:r w:rsidR="000C5EDD" w:rsidRPr="0035383B">
          <w:rPr>
            <w:b/>
            <w:bCs/>
            <w:color w:val="4A4A49" w:themeColor="text2"/>
            <w:sz w:val="18"/>
            <w:szCs w:val="18"/>
          </w:rPr>
          <w:instrText>PAGE</w:instrText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separate"/>
        </w:r>
        <w:r w:rsidR="0050005F">
          <w:rPr>
            <w:b/>
            <w:bCs/>
            <w:noProof/>
            <w:color w:val="4A4A49" w:themeColor="text2"/>
            <w:sz w:val="18"/>
            <w:szCs w:val="18"/>
          </w:rPr>
          <w:t>3</w:t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end"/>
        </w:r>
        <w:r w:rsidR="000C5EDD" w:rsidRPr="00125DCB">
          <w:rPr>
            <w:color w:val="4A4A49" w:themeColor="text2"/>
            <w:sz w:val="18"/>
            <w:szCs w:val="18"/>
          </w:rPr>
          <w:t xml:space="preserve"> / </w:t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begin"/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instrText>NUMPAGES</w:instrText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separate"/>
        </w:r>
        <w:r w:rsidR="0050005F">
          <w:rPr>
            <w:b/>
            <w:bCs/>
            <w:noProof/>
            <w:color w:val="4A4A49" w:themeColor="text2"/>
            <w:sz w:val="18"/>
            <w:szCs w:val="18"/>
          </w:rPr>
          <w:t>14</w:t>
        </w:r>
        <w:r w:rsidR="000C5EDD" w:rsidRPr="00125DCB">
          <w:rPr>
            <w:b/>
            <w:bCs/>
            <w:color w:val="4A4A49" w:themeColor="text2"/>
            <w:sz w:val="18"/>
            <w:szCs w:val="18"/>
          </w:rPr>
          <w:fldChar w:fldCharType="end"/>
        </w:r>
      </w:sdtContent>
    </w:sdt>
  </w:p>
  <w:p w14:paraId="7D14AE22" w14:textId="77777777" w:rsidR="000B3210" w:rsidRDefault="000B3210" w:rsidP="00125DCB">
    <w:pPr>
      <w:pStyle w:val="Stopka"/>
      <w:jc w:val="right"/>
      <w:rPr>
        <w:color w:val="4A4A49" w:themeColor="text2"/>
        <w:sz w:val="18"/>
        <w:szCs w:val="18"/>
      </w:rPr>
    </w:pPr>
  </w:p>
  <w:p w14:paraId="5F8E926C" w14:textId="77777777" w:rsidR="000B3210" w:rsidRDefault="000B3210" w:rsidP="000B3210">
    <w:pPr>
      <w:pStyle w:val="Stopka"/>
      <w:jc w:val="center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 w:cs="Arial"/>
        <w:sz w:val="16"/>
        <w:szCs w:val="16"/>
      </w:rPr>
      <w:t>Urząd Komunikacji Elektronicznej</w:t>
    </w:r>
  </w:p>
  <w:p w14:paraId="7B942D4C" w14:textId="77777777" w:rsidR="000B3210" w:rsidRDefault="000B3210" w:rsidP="000B3210">
    <w:pPr>
      <w:pStyle w:val="Stopka"/>
      <w:jc w:val="center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 w:cs="Arial"/>
        <w:sz w:val="16"/>
        <w:szCs w:val="16"/>
      </w:rPr>
      <w:t xml:space="preserve">Warszawa, ul. Giełdowa 7/9, </w:t>
    </w:r>
    <w:r>
      <w:rPr>
        <w:rFonts w:asciiTheme="minorHAnsi" w:hAnsiTheme="minorHAnsi" w:cs="Arial"/>
        <w:sz w:val="16"/>
        <w:szCs w:val="16"/>
      </w:rPr>
      <w:br/>
      <w:t>tel. 22 53 49 440, fax 22 53 49 306, platforma e-usług: pue.uke.gov.pl</w:t>
    </w:r>
  </w:p>
  <w:p w14:paraId="7E9AA44E" w14:textId="77777777" w:rsidR="000B3210" w:rsidRDefault="000B3210" w:rsidP="000B3210">
    <w:pPr>
      <w:pStyle w:val="Stopka"/>
      <w:jc w:val="center"/>
      <w:rPr>
        <w:rFonts w:asciiTheme="minorHAnsi" w:hAnsiTheme="minorHAnsi" w:cs="Arial"/>
        <w:sz w:val="16"/>
        <w:szCs w:val="16"/>
      </w:rPr>
    </w:pPr>
  </w:p>
  <w:p w14:paraId="0D9E5387" w14:textId="77777777" w:rsidR="000B3210" w:rsidRDefault="000B3210" w:rsidP="000B3210">
    <w:pPr>
      <w:pStyle w:val="Stopka"/>
      <w:jc w:val="center"/>
    </w:pPr>
    <w:r>
      <w:rPr>
        <w:rFonts w:asciiTheme="minorHAnsi" w:hAnsiTheme="minorHAnsi" w:cs="Arial"/>
        <w:i/>
        <w:sz w:val="16"/>
        <w:szCs w:val="18"/>
      </w:rPr>
      <w:t>Pismo wydane w formie dokumentu elektronicznego i podpisane kwalifikowanym podpisem elektronicznym</w:t>
    </w:r>
  </w:p>
  <w:p w14:paraId="3B8FD55F" w14:textId="77777777" w:rsidR="000B3210" w:rsidRPr="00125DCB" w:rsidRDefault="000B3210" w:rsidP="00125DCB">
    <w:pPr>
      <w:pStyle w:val="Stopka"/>
      <w:jc w:val="right"/>
      <w:rPr>
        <w:color w:val="4A4A49" w:themeColor="text2"/>
      </w:rPr>
    </w:pPr>
  </w:p>
  <w:p w14:paraId="02CCF92A" w14:textId="77777777" w:rsidR="000C5EDD" w:rsidRDefault="000C5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BFD75" w14:textId="77777777" w:rsidR="0088400C" w:rsidRDefault="0088400C" w:rsidP="006D7E47">
      <w:pPr>
        <w:spacing w:after="0" w:line="240" w:lineRule="auto"/>
      </w:pPr>
      <w:r>
        <w:separator/>
      </w:r>
    </w:p>
  </w:footnote>
  <w:footnote w:type="continuationSeparator" w:id="0">
    <w:p w14:paraId="7BAA893B" w14:textId="77777777" w:rsidR="0088400C" w:rsidRDefault="0088400C" w:rsidP="006D7E47">
      <w:pPr>
        <w:spacing w:after="0" w:line="240" w:lineRule="auto"/>
      </w:pPr>
      <w:r>
        <w:continuationSeparator/>
      </w:r>
    </w:p>
  </w:footnote>
  <w:footnote w:id="1">
    <w:p w14:paraId="2CBC72E0" w14:textId="5AF01C42" w:rsidR="003E1A19" w:rsidRPr="00F5228A" w:rsidRDefault="003E1A19">
      <w:pPr>
        <w:pStyle w:val="Tekstprzypisudolnego"/>
        <w:rPr>
          <w:rFonts w:asciiTheme="majorHAnsi" w:hAnsiTheme="majorHAnsi"/>
        </w:rPr>
      </w:pPr>
      <w:r w:rsidRPr="00F5228A">
        <w:rPr>
          <w:rStyle w:val="Odwoanieprzypisudolnego"/>
          <w:rFonts w:asciiTheme="majorHAnsi" w:hAnsiTheme="majorHAnsi"/>
        </w:rPr>
        <w:footnoteRef/>
      </w:r>
      <w:r w:rsidR="008B437E">
        <w:rPr>
          <w:rFonts w:asciiTheme="majorHAnsi" w:hAnsiTheme="majorHAnsi"/>
        </w:rPr>
        <w:t xml:space="preserve"> Łącze w </w:t>
      </w:r>
      <w:r w:rsidRPr="00F5228A">
        <w:rPr>
          <w:rFonts w:asciiTheme="majorHAnsi" w:hAnsiTheme="majorHAnsi"/>
        </w:rPr>
        <w:t>dół - do abonenta</w:t>
      </w:r>
      <w:r w:rsidR="00F5228A">
        <w:rPr>
          <w:rFonts w:asciiTheme="majorHAnsi" w:hAnsiTheme="majorHAnsi"/>
        </w:rPr>
        <w:t>.</w:t>
      </w:r>
    </w:p>
  </w:footnote>
  <w:footnote w:id="2">
    <w:p w14:paraId="719EF986" w14:textId="7C7174D4" w:rsidR="003E1A19" w:rsidRDefault="003E1A19">
      <w:pPr>
        <w:pStyle w:val="Tekstprzypisudolnego"/>
      </w:pPr>
      <w:r w:rsidRPr="00F5228A">
        <w:rPr>
          <w:rStyle w:val="Odwoanieprzypisudolnego"/>
          <w:rFonts w:asciiTheme="majorHAnsi" w:hAnsiTheme="majorHAnsi"/>
        </w:rPr>
        <w:footnoteRef/>
      </w:r>
      <w:r w:rsidRPr="00F5228A">
        <w:rPr>
          <w:rFonts w:asciiTheme="majorHAnsi" w:hAnsiTheme="majorHAnsi"/>
        </w:rPr>
        <w:t xml:space="preserve"> Łącze w górę - od abonenta</w:t>
      </w:r>
      <w:r w:rsidR="00F5228A">
        <w:rPr>
          <w:rFonts w:asciiTheme="majorHAnsi" w:hAnsiTheme="majorHAnsi"/>
        </w:rPr>
        <w:t>.</w:t>
      </w:r>
    </w:p>
  </w:footnote>
  <w:footnote w:id="3">
    <w:p w14:paraId="670484A9" w14:textId="7B706F57" w:rsidR="0090468E" w:rsidRPr="0007137D" w:rsidRDefault="0090468E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="00D14575">
        <w:rPr>
          <w:rFonts w:asciiTheme="majorHAnsi" w:hAnsiTheme="majorHAnsi"/>
        </w:rPr>
        <w:t xml:space="preserve"> </w:t>
      </w:r>
      <w:r w:rsidRPr="0007137D">
        <w:rPr>
          <w:rFonts w:asciiTheme="majorHAnsi" w:hAnsiTheme="majorHAnsi"/>
        </w:rPr>
        <w:t>ang. Video on Demand.</w:t>
      </w:r>
    </w:p>
  </w:footnote>
  <w:footnote w:id="4">
    <w:p w14:paraId="01F0F4E7" w14:textId="723D90C7" w:rsidR="003E1A19" w:rsidRPr="0007137D" w:rsidRDefault="003E1A19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Pr="0007137D">
        <w:rPr>
          <w:rFonts w:asciiTheme="majorHAnsi" w:hAnsiTheme="majorHAnsi"/>
        </w:rPr>
        <w:t xml:space="preserve"> ang. Optical Network Unit – urządzenie końcowe w lokalu abonenta.</w:t>
      </w:r>
    </w:p>
  </w:footnote>
  <w:footnote w:id="5">
    <w:p w14:paraId="75D44C18" w14:textId="791EB7D3" w:rsidR="003E1A19" w:rsidRPr="0007137D" w:rsidRDefault="003E1A19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Pr="0007137D">
        <w:rPr>
          <w:rFonts w:asciiTheme="majorHAnsi" w:hAnsiTheme="majorHAnsi"/>
        </w:rPr>
        <w:t xml:space="preserve"> </w:t>
      </w:r>
      <w:r w:rsidRPr="0007137D">
        <w:rPr>
          <w:rFonts w:asciiTheme="majorHAnsi" w:eastAsiaTheme="minorHAnsi" w:hAnsiTheme="majorHAnsi" w:cs="Helvetica"/>
          <w:color w:val="111111"/>
          <w:shd w:val="clear" w:color="auto" w:fill="FFFFFF"/>
          <w:lang w:eastAsia="en-US"/>
        </w:rPr>
        <w:t>Router</w:t>
      </w:r>
      <w:r w:rsidR="00C35D11">
        <w:rPr>
          <w:rFonts w:asciiTheme="majorHAnsi" w:eastAsiaTheme="minorHAnsi" w:hAnsiTheme="majorHAnsi" w:cs="Helvetica"/>
          <w:color w:val="111111"/>
          <w:shd w:val="clear" w:color="auto" w:fill="FFFFFF"/>
          <w:lang w:eastAsia="en-US"/>
        </w:rPr>
        <w:t>/Router IP</w:t>
      </w:r>
      <w:r w:rsidRPr="0007137D">
        <w:rPr>
          <w:rFonts w:asciiTheme="majorHAnsi" w:eastAsiaTheme="minorHAnsi" w:hAnsiTheme="majorHAnsi" w:cs="Helvetica"/>
          <w:color w:val="111111"/>
          <w:shd w:val="clear" w:color="auto" w:fill="FFFFFF"/>
          <w:lang w:eastAsia="en-US"/>
        </w:rPr>
        <w:t xml:space="preserve"> –</w:t>
      </w:r>
      <w:r w:rsidRPr="0007137D">
        <w:rPr>
          <w:rFonts w:asciiTheme="majorHAnsi" w:eastAsiaTheme="minorHAnsi" w:hAnsiTheme="majorHAnsi" w:cs="Helvetica"/>
          <w:bCs/>
          <w:color w:val="111111"/>
          <w:shd w:val="clear" w:color="auto" w:fill="FFFFFF"/>
          <w:lang w:eastAsia="en-US"/>
        </w:rPr>
        <w:t> urządzenie sieciowe pracujące w trzeciej warstwie modelu OSI.</w:t>
      </w:r>
      <w:r w:rsidRPr="0007137D">
        <w:rPr>
          <w:rFonts w:asciiTheme="majorHAnsi" w:eastAsiaTheme="minorHAnsi" w:hAnsiTheme="majorHAnsi" w:cs="Helvetica"/>
          <w:color w:val="111111"/>
          <w:shd w:val="clear" w:color="auto" w:fill="FFFFFF"/>
          <w:lang w:eastAsia="en-US"/>
        </w:rPr>
        <w:t> Służy do łączenia różnych sieci komputerowych (różnych w sensie informatycznym, czyli np. o różnych klasach, maskach itd.), pełni rolę węzła komunikacyjnego.</w:t>
      </w:r>
    </w:p>
  </w:footnote>
  <w:footnote w:id="6">
    <w:p w14:paraId="4942AECC" w14:textId="38789C73" w:rsidR="003E1A19" w:rsidRPr="003E1A19" w:rsidRDefault="003E1A19" w:rsidP="00F5228A">
      <w:pPr>
        <w:pStyle w:val="Tekstprzypisudolnego"/>
        <w:spacing w:before="120" w:after="120"/>
      </w:pPr>
      <w:r w:rsidRPr="0007137D">
        <w:rPr>
          <w:rStyle w:val="Odwoanieprzypisudolnego"/>
          <w:rFonts w:asciiTheme="majorHAnsi" w:hAnsiTheme="majorHAnsi"/>
        </w:rPr>
        <w:footnoteRef/>
      </w:r>
      <w:r w:rsidRPr="0007137D">
        <w:rPr>
          <w:rFonts w:asciiTheme="majorHAnsi" w:hAnsiTheme="majorHAnsi"/>
        </w:rPr>
        <w:t xml:space="preserve"> </w:t>
      </w:r>
      <w:r w:rsidRPr="0007137D">
        <w:rPr>
          <w:rFonts w:asciiTheme="majorHAnsi" w:eastAsiaTheme="minorHAnsi" w:hAnsiTheme="majorHAnsi" w:cs="Arial"/>
          <w:color w:val="111111"/>
          <w:shd w:val="clear" w:color="auto" w:fill="FFFFFF"/>
          <w:lang w:eastAsia="en-US"/>
        </w:rPr>
        <w:t>Router wifi - to sprzęt, którego zadaniem jest </w:t>
      </w:r>
      <w:r w:rsidRPr="0007137D">
        <w:rPr>
          <w:rFonts w:asciiTheme="majorHAnsi" w:eastAsiaTheme="minorHAnsi" w:hAnsiTheme="majorHAnsi" w:cs="Arial"/>
          <w:bCs/>
          <w:color w:val="111111"/>
          <w:shd w:val="clear" w:color="auto" w:fill="FFFFFF"/>
          <w:lang w:eastAsia="en-US"/>
        </w:rPr>
        <w:t>transmisja danych pomiędzy dwoma urządzeniami podłączonymi do danej sieci Wi-Fi</w:t>
      </w:r>
      <w:r w:rsidRPr="0007137D">
        <w:rPr>
          <w:rFonts w:asciiTheme="majorHAnsi" w:eastAsiaTheme="minorHAnsi" w:hAnsiTheme="majorHAnsi" w:cs="Arial"/>
          <w:color w:val="111111"/>
          <w:shd w:val="clear" w:color="auto" w:fill="FFFFFF"/>
          <w:lang w:eastAsia="en-US"/>
        </w:rPr>
        <w:t>.</w:t>
      </w:r>
    </w:p>
  </w:footnote>
  <w:footnote w:id="7">
    <w:p w14:paraId="7D630D32" w14:textId="3C140F29" w:rsidR="0007137D" w:rsidRPr="0007137D" w:rsidRDefault="0007137D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Pr="0007137D">
        <w:rPr>
          <w:rFonts w:asciiTheme="majorHAnsi" w:hAnsiTheme="majorHAnsi"/>
        </w:rPr>
        <w:t xml:space="preserve"> 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t xml:space="preserve">Multiroom to </w:t>
      </w:r>
      <w:r w:rsidRPr="0007137D">
        <w:rPr>
          <w:rFonts w:asciiTheme="majorHAnsi" w:eastAsiaTheme="minorHAnsi" w:hAnsiTheme="majorHAnsi" w:cs="Arial"/>
          <w:bCs/>
          <w:shd w:val="clear" w:color="auto" w:fill="FFFFFF"/>
          <w:lang w:eastAsia="en-US"/>
        </w:rPr>
        <w:t>sieć punktów dostępu do telewizji cyfrowej lub satelitarnej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t xml:space="preserve"> (</w:t>
      </w:r>
      <w:r w:rsidRPr="0007137D">
        <w:rPr>
          <w:rFonts w:asciiTheme="majorHAnsi" w:hAnsiTheme="majorHAnsi" w:cs="Helvetica"/>
          <w:shd w:val="clear" w:color="auto" w:fill="FFFFFF"/>
        </w:rPr>
        <w:t>zbiorczy system telewizyjny umożliwiający niezależny odbiór programów na wielu telewizorach bez potrzeby instalowania wielu anten).</w:t>
      </w:r>
    </w:p>
  </w:footnote>
  <w:footnote w:id="8">
    <w:p w14:paraId="0B89A72B" w14:textId="61200314" w:rsidR="0007137D" w:rsidRPr="0007137D" w:rsidRDefault="0007137D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Pr="0007137D">
        <w:rPr>
          <w:rFonts w:asciiTheme="majorHAnsi" w:hAnsiTheme="majorHAnsi"/>
        </w:rPr>
        <w:t xml:space="preserve"> 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t>Internet Protocol Television (w skrócie </w:t>
      </w:r>
      <w:r w:rsidRPr="0007137D">
        <w:rPr>
          <w:rFonts w:asciiTheme="majorHAnsi" w:eastAsiaTheme="minorHAnsi" w:hAnsiTheme="majorHAnsi" w:cs="Arial"/>
          <w:bCs/>
          <w:shd w:val="clear" w:color="auto" w:fill="FFFFFF"/>
          <w:lang w:eastAsia="en-US"/>
        </w:rPr>
        <w:t>IPTV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t xml:space="preserve">) – technika umożliwiająca przesyłanie sygnału telewizyjnego 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br/>
        <w:t>w sieciach szerokopasmowych opartych na protokole IP. </w:t>
      </w:r>
      <w:r w:rsidRPr="0007137D">
        <w:rPr>
          <w:rFonts w:asciiTheme="majorHAnsi" w:eastAsiaTheme="minorHAnsi" w:hAnsiTheme="majorHAnsi" w:cs="Arial"/>
          <w:bCs/>
          <w:shd w:val="clear" w:color="auto" w:fill="FFFFFF"/>
          <w:lang w:eastAsia="en-US"/>
        </w:rPr>
        <w:t>IPTV</w:t>
      </w:r>
      <w:r w:rsidRPr="0007137D">
        <w:rPr>
          <w:rFonts w:asciiTheme="majorHAnsi" w:eastAsiaTheme="minorHAnsi" w:hAnsiTheme="majorHAnsi" w:cs="Arial"/>
          <w:shd w:val="clear" w:color="auto" w:fill="FFFFFF"/>
          <w:lang w:eastAsia="en-US"/>
        </w:rPr>
        <w:t> jest to jedna forma oferowania telewizji cyfrowej, która polega na dostarczaniu wideo w sieci Internet i/lub Intranet.</w:t>
      </w:r>
    </w:p>
  </w:footnote>
  <w:footnote w:id="9">
    <w:p w14:paraId="41D719E0" w14:textId="40F77188" w:rsidR="0007137D" w:rsidRPr="00F07366" w:rsidRDefault="0007137D" w:rsidP="00F5228A">
      <w:pPr>
        <w:pStyle w:val="Tekstprzypisudolnego"/>
        <w:spacing w:before="120" w:after="120"/>
        <w:rPr>
          <w:lang w:val="en-US"/>
        </w:rPr>
      </w:pPr>
      <w:r w:rsidRPr="0007137D">
        <w:rPr>
          <w:rStyle w:val="Odwoanieprzypisudolnego"/>
          <w:rFonts w:asciiTheme="majorHAnsi" w:hAnsiTheme="majorHAnsi"/>
        </w:rPr>
        <w:footnoteRef/>
      </w:r>
      <w:r w:rsidRPr="00F07366">
        <w:rPr>
          <w:rFonts w:asciiTheme="majorHAnsi" w:hAnsiTheme="majorHAnsi"/>
          <w:lang w:val="en-US"/>
        </w:rPr>
        <w:t xml:space="preserve"> </w:t>
      </w:r>
      <w:r w:rsidRPr="00F07366">
        <w:rPr>
          <w:rFonts w:asciiTheme="majorHAnsi" w:hAnsiTheme="majorHAnsi"/>
          <w:szCs w:val="23"/>
          <w:lang w:val="en-US"/>
        </w:rPr>
        <w:t>Voice over Internet Protocol.</w:t>
      </w:r>
    </w:p>
  </w:footnote>
  <w:footnote w:id="10">
    <w:p w14:paraId="215409A6" w14:textId="181AE28E" w:rsidR="00C35D11" w:rsidRPr="00F5228A" w:rsidRDefault="00C35D11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F5228A">
        <w:rPr>
          <w:rStyle w:val="Odwoanieprzypisudolnego"/>
          <w:rFonts w:asciiTheme="majorHAnsi" w:hAnsiTheme="majorHAnsi"/>
        </w:rPr>
        <w:footnoteRef/>
      </w:r>
      <w:r w:rsidRPr="00F5228A">
        <w:rPr>
          <w:rFonts w:asciiTheme="majorHAnsi" w:hAnsiTheme="majorHAnsi"/>
          <w:lang w:val="en-US"/>
        </w:rPr>
        <w:t xml:space="preserve"> </w:t>
      </w:r>
      <w:r w:rsidRPr="00F5228A">
        <w:rPr>
          <w:rFonts w:asciiTheme="majorHAnsi" w:hAnsiTheme="majorHAnsi" w:cs="Helvetica"/>
          <w:shd w:val="clear" w:color="auto" w:fill="FFFFFF"/>
          <w:lang w:val="en-US"/>
        </w:rPr>
        <w:t xml:space="preserve">Broadband remote access server (BRAS, B-RAS lub BBRAS) – serwer szerokopasmowego dostępu zdalnego. </w:t>
      </w:r>
      <w:r w:rsidRPr="00F5228A">
        <w:rPr>
          <w:rFonts w:asciiTheme="majorHAnsi" w:hAnsiTheme="majorHAnsi" w:cs="Helvetica"/>
          <w:shd w:val="clear" w:color="auto" w:fill="FFFFFF"/>
        </w:rPr>
        <w:t xml:space="preserve">Kieruje ruch do i z urządzeń szerokopasmowego dostępu zdalnego takich jak DSLAM (ang. </w:t>
      </w:r>
      <w:r w:rsidRPr="00F5228A">
        <w:rPr>
          <w:rFonts w:asciiTheme="majorHAnsi" w:hAnsiTheme="majorHAnsi" w:cs="Helvetica"/>
          <w:shd w:val="clear" w:color="auto" w:fill="FFFFFF"/>
          <w:lang w:val="en-US"/>
        </w:rPr>
        <w:t xml:space="preserve">Digital Subscriber Line Access Multiplexer) w sieci dostawcy usług internetowych ISP (ang. </w:t>
      </w:r>
      <w:r w:rsidRPr="00F5228A">
        <w:rPr>
          <w:rFonts w:asciiTheme="majorHAnsi" w:hAnsiTheme="majorHAnsi" w:cs="Helvetica"/>
          <w:shd w:val="clear" w:color="auto" w:fill="FFFFFF"/>
        </w:rPr>
        <w:t xml:space="preserve">Internet Service Provider). BRAS można także określić jako bramę sieci szerokopasmowej BNG (ang. Broadband Network Gateway). </w:t>
      </w:r>
      <w:r w:rsidRPr="00F5228A">
        <w:rPr>
          <w:rFonts w:asciiTheme="majorHAnsi" w:hAnsiTheme="majorHAnsi" w:cs="Arial"/>
          <w:shd w:val="clear" w:color="auto" w:fill="FFFFFF"/>
        </w:rPr>
        <w:t>BRAS znajduje się na brzegu głównej sieci dostawcy usług internetowych i agreguje sesje użytkowników z sieci dostępowej.</w:t>
      </w:r>
    </w:p>
  </w:footnote>
  <w:footnote w:id="11">
    <w:p w14:paraId="3F738C8A" w14:textId="369DB089" w:rsidR="00C35D11" w:rsidRPr="00340FA2" w:rsidRDefault="00C35D11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F5228A">
        <w:rPr>
          <w:rStyle w:val="Odwoanieprzypisudolnego"/>
          <w:rFonts w:asciiTheme="majorHAnsi" w:hAnsiTheme="majorHAnsi"/>
        </w:rPr>
        <w:footnoteRef/>
      </w:r>
      <w:r w:rsidRPr="00340FA2">
        <w:rPr>
          <w:rFonts w:asciiTheme="majorHAnsi" w:hAnsiTheme="majorHAnsi"/>
        </w:rPr>
        <w:t xml:space="preserve"> </w:t>
      </w:r>
      <w:r w:rsidRPr="00340FA2">
        <w:rPr>
          <w:rFonts w:asciiTheme="majorHAnsi" w:hAnsiTheme="majorHAnsi" w:cs="Helvetica"/>
          <w:shd w:val="clear" w:color="auto" w:fill="FFFFFF"/>
        </w:rPr>
        <w:t>ang. Broadband Network Gateway.</w:t>
      </w:r>
    </w:p>
  </w:footnote>
  <w:footnote w:id="12">
    <w:p w14:paraId="2711C378" w14:textId="552F9126" w:rsidR="00C35D11" w:rsidRPr="00F5228A" w:rsidRDefault="00C35D11" w:rsidP="00F5228A">
      <w:pPr>
        <w:pStyle w:val="Tekstprzypisudolnego"/>
        <w:spacing w:before="120" w:after="120"/>
        <w:rPr>
          <w:rFonts w:asciiTheme="majorHAnsi" w:hAnsiTheme="majorHAnsi"/>
        </w:rPr>
      </w:pPr>
      <w:r w:rsidRPr="00F5228A">
        <w:rPr>
          <w:rStyle w:val="Odwoanieprzypisudolnego"/>
          <w:rFonts w:asciiTheme="majorHAnsi" w:hAnsiTheme="majorHAnsi"/>
        </w:rPr>
        <w:footnoteRef/>
      </w:r>
      <w:r w:rsidRPr="00F5228A">
        <w:rPr>
          <w:rFonts w:asciiTheme="majorHAnsi" w:hAnsiTheme="majorHAnsi"/>
        </w:rPr>
        <w:t xml:space="preserve"> </w:t>
      </w:r>
      <w:r w:rsidRPr="00F5228A">
        <w:rPr>
          <w:rFonts w:asciiTheme="majorHAnsi" w:eastAsiaTheme="minorHAnsi" w:hAnsiTheme="majorHAnsi" w:cs="Helvetica"/>
          <w:bCs/>
          <w:shd w:val="clear" w:color="auto" w:fill="FFFFFF"/>
          <w:lang w:eastAsia="en-US"/>
        </w:rPr>
        <w:t>Przełącznik</w:t>
      </w:r>
      <w:r w:rsidRPr="00F5228A">
        <w:rPr>
          <w:rFonts w:asciiTheme="majorHAnsi" w:eastAsiaTheme="minorHAnsi" w:hAnsiTheme="majorHAnsi" w:cs="Helvetica"/>
          <w:shd w:val="clear" w:color="auto" w:fill="FFFFFF"/>
          <w:lang w:eastAsia="en-US"/>
        </w:rPr>
        <w:t> </w:t>
      </w:r>
      <w:r w:rsidRPr="00F5228A">
        <w:rPr>
          <w:rFonts w:asciiTheme="majorHAnsi" w:eastAsiaTheme="minorHAnsi" w:hAnsiTheme="majorHAnsi" w:cs="Helvetica"/>
          <w:bCs/>
          <w:shd w:val="clear" w:color="auto" w:fill="FFFFFF"/>
          <w:lang w:eastAsia="en-US"/>
        </w:rPr>
        <w:t>oprogramowania</w:t>
      </w:r>
      <w:r w:rsidRPr="00F5228A">
        <w:rPr>
          <w:rFonts w:asciiTheme="majorHAnsi" w:eastAsiaTheme="minorHAnsi" w:hAnsiTheme="majorHAnsi" w:cs="Helvetica"/>
          <w:shd w:val="clear" w:color="auto" w:fill="FFFFFF"/>
          <w:lang w:eastAsia="en-US"/>
        </w:rPr>
        <w:t xml:space="preserve"> jest centralnym urządzeniem w sieci telekomunikacyjnej, która łączy rozmów telefonicznych z jednej linii telefonicznej do drugiego, za pośrednictwem sieci telekomunikacyjnej lub publicznej sieci Internet, w całości za pomocą </w:t>
      </w:r>
      <w:r w:rsidRPr="00F5228A">
        <w:rPr>
          <w:rFonts w:asciiTheme="majorHAnsi" w:eastAsiaTheme="minorHAnsi" w:hAnsiTheme="majorHAnsi" w:cs="Helvetica"/>
          <w:bCs/>
          <w:shd w:val="clear" w:color="auto" w:fill="FFFFFF"/>
          <w:lang w:eastAsia="en-US"/>
        </w:rPr>
        <w:t>oprogramowania</w:t>
      </w:r>
      <w:r w:rsidRPr="00F5228A">
        <w:rPr>
          <w:rFonts w:asciiTheme="majorHAnsi" w:eastAsiaTheme="minorHAnsi" w:hAnsiTheme="majorHAnsi" w:cs="Helvetica"/>
          <w:shd w:val="clear" w:color="auto" w:fill="FFFFFF"/>
          <w:lang w:eastAsia="en-US"/>
        </w:rPr>
        <w:t> zainstalowanego na systemie komputerowym ogólnego przeznaczenia.</w:t>
      </w:r>
    </w:p>
  </w:footnote>
  <w:footnote w:id="13">
    <w:p w14:paraId="2BD4F14D" w14:textId="1C233703" w:rsidR="00840000" w:rsidRDefault="00840000" w:rsidP="00840000">
      <w:pPr>
        <w:pStyle w:val="Tekstprzypisudolnego"/>
        <w:spacing w:before="120" w:after="120"/>
      </w:pPr>
      <w:r>
        <w:rPr>
          <w:rStyle w:val="Odwoanieprzypisudolnego"/>
        </w:rPr>
        <w:footnoteRef/>
      </w:r>
      <w:r>
        <w:t xml:space="preserve"> </w:t>
      </w:r>
      <w:r w:rsidRPr="00840000">
        <w:rPr>
          <w:rFonts w:asciiTheme="majorHAnsi" w:hAnsiTheme="majorHAnsi"/>
        </w:rPr>
        <w:t>ang.</w:t>
      </w:r>
      <w:r>
        <w:t xml:space="preserve"> </w:t>
      </w:r>
      <w:r w:rsidR="00340FA2">
        <w:rPr>
          <w:rFonts w:asciiTheme="majorHAnsi" w:hAnsiTheme="majorHAnsi"/>
          <w:shd w:val="clear" w:color="auto" w:fill="FFFFFF"/>
        </w:rPr>
        <w:t>Session Border Controller</w:t>
      </w:r>
      <w:r w:rsidRPr="00840000">
        <w:rPr>
          <w:rFonts w:asciiTheme="majorHAnsi" w:hAnsiTheme="majorHAnsi"/>
          <w:shd w:val="clear" w:color="auto" w:fill="FFFFFF"/>
        </w:rPr>
        <w:t xml:space="preserve"> są używane na brzegu sieci obsługującej ruch głosowy VoIP (Voice over IP). </w:t>
      </w:r>
      <w:r>
        <w:rPr>
          <w:rFonts w:asciiTheme="majorHAnsi" w:hAnsiTheme="majorHAnsi"/>
          <w:shd w:val="clear" w:color="auto" w:fill="FFFFFF"/>
        </w:rPr>
        <w:br/>
      </w:r>
      <w:r w:rsidRPr="00840000">
        <w:rPr>
          <w:rFonts w:asciiTheme="majorHAnsi" w:hAnsiTheme="majorHAnsi"/>
          <w:shd w:val="clear" w:color="auto" w:fill="FFFFFF"/>
        </w:rPr>
        <w:t xml:space="preserve">W dużym uproszczeniu ich zadaniem jest zapewnienie bezpieczeństwa i odpowiedniej jakości połączeń IP </w:t>
      </w:r>
      <w:r>
        <w:rPr>
          <w:rFonts w:asciiTheme="majorHAnsi" w:hAnsiTheme="majorHAnsi"/>
          <w:shd w:val="clear" w:color="auto" w:fill="FFFFFF"/>
        </w:rPr>
        <w:br/>
      </w:r>
      <w:r w:rsidRPr="00840000">
        <w:rPr>
          <w:rFonts w:asciiTheme="majorHAnsi" w:hAnsiTheme="majorHAnsi"/>
          <w:shd w:val="clear" w:color="auto" w:fill="FFFFFF"/>
        </w:rPr>
        <w:t>co w dzisiejszych czasach jest niezwykle istotnym elementem dla operatorów. SBC umieszczony na styku dwóch dostawców usług może również służyć do transkodowania kodeków czy też unifikacji nagłówków SIP.</w:t>
      </w:r>
    </w:p>
  </w:footnote>
  <w:footnote w:id="14">
    <w:p w14:paraId="274C64A0" w14:textId="0AC21405" w:rsidR="00D964E5" w:rsidRPr="009F77A1" w:rsidRDefault="00D964E5">
      <w:pPr>
        <w:pStyle w:val="Tekstprzypisudolnego"/>
        <w:rPr>
          <w:rFonts w:asciiTheme="majorHAnsi" w:hAnsiTheme="majorHAnsi"/>
        </w:rPr>
      </w:pPr>
      <w:r w:rsidRPr="009F77A1">
        <w:rPr>
          <w:rStyle w:val="Odwoanieprzypisudolnego"/>
          <w:rFonts w:asciiTheme="majorHAnsi" w:hAnsiTheme="majorHAnsi"/>
        </w:rPr>
        <w:footnoteRef/>
      </w:r>
      <w:r w:rsidRPr="009F77A1">
        <w:rPr>
          <w:rFonts w:asciiTheme="majorHAnsi" w:hAnsiTheme="majorHAnsi"/>
        </w:rPr>
        <w:t xml:space="preserve"> </w:t>
      </w:r>
      <w:r w:rsidRPr="009F77A1">
        <w:rPr>
          <w:rFonts w:asciiTheme="majorHAnsi" w:eastAsiaTheme="minorHAnsi" w:hAnsiTheme="majorHAnsi"/>
          <w:shd w:val="clear" w:color="auto" w:fill="FFFFFF"/>
          <w:lang w:eastAsia="en-US"/>
        </w:rPr>
        <w:t xml:space="preserve">Ramowa architektura opracowana przez 3GPP. Umożliwia </w:t>
      </w:r>
      <w:r w:rsidRPr="009F77A1">
        <w:rPr>
          <w:rFonts w:asciiTheme="majorHAnsi" w:hAnsiTheme="majorHAnsi" w:cs="Arial"/>
          <w:shd w:val="clear" w:color="auto" w:fill="FFFFFF"/>
        </w:rPr>
        <w:t xml:space="preserve">oferowanie zintegrowanych usług transmisji głosu </w:t>
      </w:r>
      <w:r w:rsidR="00840000">
        <w:rPr>
          <w:rFonts w:asciiTheme="majorHAnsi" w:hAnsiTheme="majorHAnsi" w:cs="Arial"/>
          <w:shd w:val="clear" w:color="auto" w:fill="FFFFFF"/>
        </w:rPr>
        <w:br/>
      </w:r>
      <w:r w:rsidRPr="009F77A1">
        <w:rPr>
          <w:rFonts w:asciiTheme="majorHAnsi" w:hAnsiTheme="majorHAnsi" w:cs="Arial"/>
          <w:shd w:val="clear" w:color="auto" w:fill="FFFFFF"/>
        </w:rPr>
        <w:t>i danych przez sieć IP z komutacją pakietów. W praktyce oznacza to możliwość korzystania z usług, takich jak push to talk, video streaming, usług multicastowych, aplikacji typu chat, wideotelefonii, przesyłania wiadomości multimedialnych i innych dowolnie konfigurowalnych usług.</w:t>
      </w:r>
    </w:p>
  </w:footnote>
  <w:footnote w:id="15">
    <w:p w14:paraId="250C634F" w14:textId="033EEDAB" w:rsidR="009F77A1" w:rsidRPr="009F77A1" w:rsidRDefault="009F77A1" w:rsidP="00340FA2">
      <w:pPr>
        <w:pStyle w:val="Tekstprzypisudolnego"/>
        <w:spacing w:before="120" w:after="120"/>
        <w:rPr>
          <w:rFonts w:asciiTheme="majorHAnsi" w:hAnsiTheme="majorHAnsi"/>
        </w:rPr>
      </w:pPr>
      <w:r w:rsidRPr="009F77A1">
        <w:rPr>
          <w:rStyle w:val="Odwoanieprzypisudolnego"/>
          <w:rFonts w:asciiTheme="majorHAnsi" w:hAnsiTheme="majorHAnsi"/>
        </w:rPr>
        <w:footnoteRef/>
      </w:r>
      <w:r w:rsidRPr="009F77A1">
        <w:rPr>
          <w:rFonts w:asciiTheme="majorHAnsi" w:hAnsiTheme="majorHAnsi"/>
        </w:rPr>
        <w:t xml:space="preserve"> ang. Media Gateway</w:t>
      </w:r>
      <w:r w:rsidR="00340FA2">
        <w:rPr>
          <w:rFonts w:asciiTheme="majorHAnsi" w:hAnsiTheme="majorHAnsi"/>
        </w:rPr>
        <w:t xml:space="preserve"> </w:t>
      </w:r>
      <w:r w:rsidRPr="009F77A1">
        <w:rPr>
          <w:rFonts w:asciiTheme="majorHAnsi" w:hAnsiTheme="majorHAnsi"/>
        </w:rPr>
        <w:t xml:space="preserve">– jednostka odpowiedzialna za przenoszenie ruchu pomiędzy sieciami różnych typów, </w:t>
      </w:r>
      <w:r w:rsidR="00340FA2">
        <w:rPr>
          <w:rFonts w:asciiTheme="majorHAnsi" w:hAnsiTheme="majorHAnsi"/>
        </w:rPr>
        <w:br/>
      </w:r>
      <w:r w:rsidRPr="009F77A1">
        <w:rPr>
          <w:rFonts w:asciiTheme="majorHAnsi" w:hAnsiTheme="majorHAnsi"/>
        </w:rPr>
        <w:t>w szczególności sieciami IP (transport z wykorzystaniem protokołów RTP i IP) oraz sieciami komutacji kanałów np. kanały 64 kbps kodowane w standardzie PCM (Pulse Code Modulation).</w:t>
      </w:r>
    </w:p>
  </w:footnote>
  <w:footnote w:id="16">
    <w:p w14:paraId="1935F12F" w14:textId="7C8FAE98" w:rsidR="00F07366" w:rsidRPr="00F07366" w:rsidRDefault="00F07366" w:rsidP="009F77A1">
      <w:pPr>
        <w:pStyle w:val="Tekstprzypisudolnego"/>
        <w:spacing w:before="120" w:after="120"/>
        <w:rPr>
          <w:lang w:val="en-US"/>
        </w:rPr>
      </w:pPr>
      <w:r w:rsidRPr="009F77A1">
        <w:rPr>
          <w:rStyle w:val="Odwoanieprzypisudolnego"/>
          <w:rFonts w:asciiTheme="majorHAnsi" w:hAnsiTheme="majorHAnsi"/>
        </w:rPr>
        <w:footnoteRef/>
      </w:r>
      <w:r w:rsidRPr="009F77A1">
        <w:rPr>
          <w:rFonts w:asciiTheme="majorHAnsi" w:hAnsiTheme="majorHAnsi"/>
          <w:lang w:val="en-US"/>
        </w:rPr>
        <w:t xml:space="preserve"> </w:t>
      </w:r>
      <w:r w:rsidR="00D14575" w:rsidRPr="009F77A1">
        <w:rPr>
          <w:rFonts w:asciiTheme="majorHAnsi" w:hAnsiTheme="majorHAnsi"/>
          <w:lang w:val="en-US"/>
        </w:rPr>
        <w:t>a</w:t>
      </w:r>
      <w:r w:rsidRPr="009F77A1">
        <w:rPr>
          <w:rFonts w:asciiTheme="majorHAnsi" w:hAnsiTheme="majorHAnsi"/>
          <w:lang w:val="en-US"/>
        </w:rPr>
        <w:t>ng. Optical Line Termination</w:t>
      </w:r>
      <w:r w:rsidR="00F5228A" w:rsidRPr="009F77A1">
        <w:rPr>
          <w:rFonts w:asciiTheme="majorHAnsi" w:hAnsiTheme="majorHAnsi"/>
          <w:lang w:val="en-US"/>
        </w:rPr>
        <w:t>.</w:t>
      </w:r>
      <w:r w:rsidRPr="00F07366">
        <w:rPr>
          <w:lang w:val="en-US"/>
        </w:rPr>
        <w:t xml:space="preserve"> </w:t>
      </w:r>
    </w:p>
  </w:footnote>
  <w:footnote w:id="17">
    <w:p w14:paraId="0572D491" w14:textId="6A323CD6" w:rsidR="008119A9" w:rsidRPr="00F5228A" w:rsidRDefault="008119A9">
      <w:pPr>
        <w:pStyle w:val="Tekstprzypisudolnego"/>
        <w:rPr>
          <w:rFonts w:asciiTheme="majorHAnsi" w:hAnsiTheme="majorHAnsi"/>
          <w:lang w:val="en-US"/>
        </w:rPr>
      </w:pPr>
      <w:r w:rsidRPr="00F5228A">
        <w:rPr>
          <w:rStyle w:val="Odwoanieprzypisudolnego"/>
          <w:rFonts w:asciiTheme="majorHAnsi" w:hAnsiTheme="majorHAnsi"/>
        </w:rPr>
        <w:footnoteRef/>
      </w:r>
      <w:r w:rsidRPr="00F5228A">
        <w:rPr>
          <w:rFonts w:asciiTheme="majorHAnsi" w:hAnsiTheme="majorHAnsi"/>
          <w:lang w:val="en-US"/>
        </w:rPr>
        <w:t xml:space="preserve"> </w:t>
      </w:r>
      <w:r w:rsidR="00340FA2">
        <w:rPr>
          <w:rFonts w:asciiTheme="majorHAnsi" w:hAnsiTheme="majorHAnsi"/>
          <w:lang w:val="en-US"/>
        </w:rPr>
        <w:t xml:space="preserve">ang. </w:t>
      </w:r>
      <w:r w:rsidRPr="00F5228A">
        <w:rPr>
          <w:rFonts w:asciiTheme="majorHAnsi" w:hAnsiTheme="majorHAnsi" w:cs="Tahoma"/>
          <w:lang w:val="en-US"/>
        </w:rPr>
        <w:t>Customer Relationship Management – system zarządzania relacjami z klientami</w:t>
      </w:r>
      <w:r w:rsidR="00F07366" w:rsidRPr="00F5228A">
        <w:rPr>
          <w:rFonts w:asciiTheme="majorHAnsi" w:hAnsiTheme="majorHAnsi" w:cs="Tahoma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0FC56" w14:textId="2AE0DECC" w:rsidR="000050C7" w:rsidRDefault="00F43C00" w:rsidP="000050C7">
    <w:pPr>
      <w:pStyle w:val="Adresodbiorcy"/>
      <w:spacing w:before="120" w:after="120" w:line="240" w:lineRule="auto"/>
      <w:rPr>
        <w:rFonts w:asciiTheme="minorHAnsi" w:hAnsiTheme="minorHAnsi"/>
        <w:bCs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Załącznik nr 4</w:t>
    </w:r>
    <w:r w:rsidR="000050C7">
      <w:rPr>
        <w:rFonts w:asciiTheme="minorHAnsi" w:hAnsiTheme="minorHAnsi"/>
        <w:b/>
        <w:sz w:val="24"/>
        <w:szCs w:val="24"/>
      </w:rPr>
      <w:t xml:space="preserve"> </w:t>
    </w:r>
    <w:r w:rsidR="00E05631">
      <w:rPr>
        <w:rFonts w:asciiTheme="minorHAnsi" w:hAnsiTheme="minorHAnsi"/>
        <w:sz w:val="24"/>
        <w:szCs w:val="24"/>
      </w:rPr>
      <w:t>do</w:t>
    </w:r>
    <w:r w:rsidR="000050C7">
      <w:rPr>
        <w:rFonts w:asciiTheme="minorHAnsi" w:hAnsiTheme="minorHAnsi"/>
        <w:sz w:val="24"/>
        <w:szCs w:val="24"/>
      </w:rPr>
      <w:t xml:space="preserve"> decyzji </w:t>
    </w:r>
    <w:r>
      <w:rPr>
        <w:rFonts w:asciiTheme="minorHAnsi" w:hAnsiTheme="minorHAnsi"/>
        <w:bCs/>
        <w:sz w:val="24"/>
        <w:szCs w:val="24"/>
      </w:rPr>
      <w:t>nr DR.WORK.6082.1</w:t>
    </w:r>
    <w:r w:rsidR="000050C7">
      <w:rPr>
        <w:rFonts w:asciiTheme="minorHAnsi" w:hAnsiTheme="minorHAnsi"/>
        <w:bCs/>
        <w:sz w:val="24"/>
        <w:szCs w:val="24"/>
      </w:rPr>
      <w:t>.2020.</w:t>
    </w:r>
    <w:r w:rsidR="0050005F">
      <w:rPr>
        <w:rFonts w:asciiTheme="minorHAnsi" w:hAnsiTheme="minorHAnsi"/>
        <w:bCs/>
        <w:sz w:val="24"/>
        <w:szCs w:val="24"/>
      </w:rPr>
      <w:t>150</w:t>
    </w:r>
  </w:p>
  <w:p w14:paraId="3802BEF8" w14:textId="77777777" w:rsidR="000050C7" w:rsidRDefault="000050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5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214E86"/>
    <w:multiLevelType w:val="multilevel"/>
    <w:tmpl w:val="AC166A54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D77DA5"/>
    <w:multiLevelType w:val="hybridMultilevel"/>
    <w:tmpl w:val="4ED6B5DA"/>
    <w:lvl w:ilvl="0" w:tplc="18A27F26">
      <w:start w:val="1"/>
      <w:numFmt w:val="decimal"/>
      <w:pStyle w:val="Nagwek2"/>
      <w:lvlText w:val="%1."/>
      <w:lvlJc w:val="left"/>
      <w:pPr>
        <w:ind w:left="720" w:hanging="360"/>
      </w:pPr>
      <w:rPr>
        <w:b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A05C2"/>
    <w:multiLevelType w:val="multilevel"/>
    <w:tmpl w:val="0DE20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3930F3"/>
    <w:multiLevelType w:val="hybridMultilevel"/>
    <w:tmpl w:val="EE48EE92"/>
    <w:lvl w:ilvl="0" w:tplc="89CCE4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8572D"/>
    <w:multiLevelType w:val="hybridMultilevel"/>
    <w:tmpl w:val="693CA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554C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93F556A"/>
    <w:multiLevelType w:val="hybridMultilevel"/>
    <w:tmpl w:val="17A2E0EA"/>
    <w:lvl w:ilvl="0" w:tplc="1708F436">
      <w:start w:val="1"/>
      <w:numFmt w:val="bullet"/>
      <w:pStyle w:val="Nagwek6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262DE"/>
    <w:multiLevelType w:val="hybridMultilevel"/>
    <w:tmpl w:val="36B426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F62B5"/>
    <w:multiLevelType w:val="hybridMultilevel"/>
    <w:tmpl w:val="BCB2934C"/>
    <w:lvl w:ilvl="0" w:tplc="3C7CB0D0">
      <w:start w:val="1"/>
      <w:numFmt w:val="lowerLetter"/>
      <w:lvlText w:val="%1."/>
      <w:lvlJc w:val="left"/>
      <w:pPr>
        <w:ind w:left="720" w:hanging="360"/>
      </w:pPr>
      <w:rPr>
        <w:rFonts w:ascii="Calibri Light" w:eastAsia="Times New Roman" w:hAnsi="Calibri Light" w:cs="Times New Roman" w:hint="default"/>
        <w:color w:val="31418D"/>
        <w:sz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037E8"/>
    <w:multiLevelType w:val="multilevel"/>
    <w:tmpl w:val="266AFF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6112E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513109"/>
    <w:multiLevelType w:val="hybridMultilevel"/>
    <w:tmpl w:val="BF1C104E"/>
    <w:lvl w:ilvl="0" w:tplc="FE12B2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23951"/>
    <w:multiLevelType w:val="multilevel"/>
    <w:tmpl w:val="14A44B6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FB6544"/>
    <w:multiLevelType w:val="hybridMultilevel"/>
    <w:tmpl w:val="75F6CD9E"/>
    <w:lvl w:ilvl="0" w:tplc="7B6415AA">
      <w:start w:val="1"/>
      <w:numFmt w:val="bullet"/>
      <w:pStyle w:val="Nagwek5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342C3"/>
    <w:multiLevelType w:val="hybridMultilevel"/>
    <w:tmpl w:val="6D889796"/>
    <w:lvl w:ilvl="0" w:tplc="4442EBD2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E4B40"/>
    <w:multiLevelType w:val="hybridMultilevel"/>
    <w:tmpl w:val="555C14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64AFA"/>
    <w:multiLevelType w:val="hybridMultilevel"/>
    <w:tmpl w:val="4B30D148"/>
    <w:lvl w:ilvl="0" w:tplc="93742BC2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3BE74FAB"/>
    <w:multiLevelType w:val="hybridMultilevel"/>
    <w:tmpl w:val="359E4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D04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5B08DB"/>
    <w:multiLevelType w:val="multilevel"/>
    <w:tmpl w:val="0748B2D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963A84"/>
    <w:multiLevelType w:val="hybridMultilevel"/>
    <w:tmpl w:val="379A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4BF5"/>
    <w:multiLevelType w:val="multilevel"/>
    <w:tmpl w:val="51E0649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EED2E5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12E0899"/>
    <w:multiLevelType w:val="hybridMultilevel"/>
    <w:tmpl w:val="359E4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852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0DE00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1AD71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797EB3"/>
    <w:multiLevelType w:val="hybridMultilevel"/>
    <w:tmpl w:val="F672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87127"/>
    <w:multiLevelType w:val="hybridMultilevel"/>
    <w:tmpl w:val="651EC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D322D"/>
    <w:multiLevelType w:val="hybridMultilevel"/>
    <w:tmpl w:val="AE1AA7A4"/>
    <w:lvl w:ilvl="0" w:tplc="B55E554E">
      <w:start w:val="1"/>
      <w:numFmt w:val="lowerLetter"/>
      <w:pStyle w:val="Nagwek4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875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A9C03C4"/>
    <w:multiLevelType w:val="hybridMultilevel"/>
    <w:tmpl w:val="F91A1396"/>
    <w:lvl w:ilvl="0" w:tplc="A7388046">
      <w:start w:val="1"/>
      <w:numFmt w:val="decimal"/>
      <w:pStyle w:val="Nagwek3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FB7E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4"/>
  </w:num>
  <w:num w:numId="5">
    <w:abstractNumId w:val="2"/>
  </w:num>
  <w:num w:numId="6">
    <w:abstractNumId w:val="32"/>
  </w:num>
  <w:num w:numId="7">
    <w:abstractNumId w:val="30"/>
  </w:num>
  <w:num w:numId="8">
    <w:abstractNumId w:val="7"/>
  </w:num>
  <w:num w:numId="9">
    <w:abstractNumId w:val="16"/>
  </w:num>
  <w:num w:numId="10">
    <w:abstractNumId w:val="9"/>
  </w:num>
  <w:num w:numId="11">
    <w:abstractNumId w:val="8"/>
  </w:num>
  <w:num w:numId="12">
    <w:abstractNumId w:val="5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25"/>
  </w:num>
  <w:num w:numId="17">
    <w:abstractNumId w:val="1"/>
  </w:num>
  <w:num w:numId="18">
    <w:abstractNumId w:val="26"/>
  </w:num>
  <w:num w:numId="19">
    <w:abstractNumId w:val="19"/>
  </w:num>
  <w:num w:numId="20">
    <w:abstractNumId w:val="10"/>
  </w:num>
  <w:num w:numId="21">
    <w:abstractNumId w:val="11"/>
  </w:num>
  <w:num w:numId="22">
    <w:abstractNumId w:val="6"/>
  </w:num>
  <w:num w:numId="23">
    <w:abstractNumId w:val="20"/>
  </w:num>
  <w:num w:numId="24">
    <w:abstractNumId w:val="13"/>
  </w:num>
  <w:num w:numId="25">
    <w:abstractNumId w:val="27"/>
  </w:num>
  <w:num w:numId="26">
    <w:abstractNumId w:val="31"/>
  </w:num>
  <w:num w:numId="27">
    <w:abstractNumId w:val="33"/>
  </w:num>
  <w:num w:numId="28">
    <w:abstractNumId w:val="0"/>
  </w:num>
  <w:num w:numId="29">
    <w:abstractNumId w:val="3"/>
  </w:num>
  <w:num w:numId="30">
    <w:abstractNumId w:val="17"/>
  </w:num>
  <w:num w:numId="31">
    <w:abstractNumId w:val="28"/>
  </w:num>
  <w:num w:numId="32">
    <w:abstractNumId w:val="21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340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11"/>
    <w:rsid w:val="0000034F"/>
    <w:rsid w:val="00000A94"/>
    <w:rsid w:val="00002BFA"/>
    <w:rsid w:val="000050C7"/>
    <w:rsid w:val="000070A6"/>
    <w:rsid w:val="00011676"/>
    <w:rsid w:val="00012E4B"/>
    <w:rsid w:val="00015C38"/>
    <w:rsid w:val="000177D2"/>
    <w:rsid w:val="000208D2"/>
    <w:rsid w:val="0002205A"/>
    <w:rsid w:val="00022FBA"/>
    <w:rsid w:val="000230AE"/>
    <w:rsid w:val="00023CEB"/>
    <w:rsid w:val="00026C55"/>
    <w:rsid w:val="000279FD"/>
    <w:rsid w:val="0003713F"/>
    <w:rsid w:val="000402D4"/>
    <w:rsid w:val="00040E01"/>
    <w:rsid w:val="0004484F"/>
    <w:rsid w:val="00047A6D"/>
    <w:rsid w:val="000504CD"/>
    <w:rsid w:val="00051C85"/>
    <w:rsid w:val="0005651C"/>
    <w:rsid w:val="00061B48"/>
    <w:rsid w:val="00063E5F"/>
    <w:rsid w:val="00070947"/>
    <w:rsid w:val="0007137D"/>
    <w:rsid w:val="000727B1"/>
    <w:rsid w:val="00073C0A"/>
    <w:rsid w:val="000875CE"/>
    <w:rsid w:val="00087813"/>
    <w:rsid w:val="000A41CE"/>
    <w:rsid w:val="000B0A36"/>
    <w:rsid w:val="000B28BF"/>
    <w:rsid w:val="000B3210"/>
    <w:rsid w:val="000B48B4"/>
    <w:rsid w:val="000C15E1"/>
    <w:rsid w:val="000C39DD"/>
    <w:rsid w:val="000C5EDD"/>
    <w:rsid w:val="000C6FBF"/>
    <w:rsid w:val="000D30C7"/>
    <w:rsid w:val="000D4433"/>
    <w:rsid w:val="000D6FAE"/>
    <w:rsid w:val="000E273F"/>
    <w:rsid w:val="000F028B"/>
    <w:rsid w:val="000F0EA1"/>
    <w:rsid w:val="000F26C7"/>
    <w:rsid w:val="000F34F9"/>
    <w:rsid w:val="00101D7C"/>
    <w:rsid w:val="00103CB0"/>
    <w:rsid w:val="001051E5"/>
    <w:rsid w:val="00110717"/>
    <w:rsid w:val="00111662"/>
    <w:rsid w:val="0011393A"/>
    <w:rsid w:val="00123CC8"/>
    <w:rsid w:val="001240E4"/>
    <w:rsid w:val="0012439F"/>
    <w:rsid w:val="00125DCB"/>
    <w:rsid w:val="001263CC"/>
    <w:rsid w:val="001520C1"/>
    <w:rsid w:val="00167CAD"/>
    <w:rsid w:val="00171DE2"/>
    <w:rsid w:val="0018104C"/>
    <w:rsid w:val="00185E4F"/>
    <w:rsid w:val="00197B8B"/>
    <w:rsid w:val="001A01AC"/>
    <w:rsid w:val="001A61FD"/>
    <w:rsid w:val="001A7484"/>
    <w:rsid w:val="001B0F30"/>
    <w:rsid w:val="001B2771"/>
    <w:rsid w:val="001B31CE"/>
    <w:rsid w:val="001C1681"/>
    <w:rsid w:val="001C4672"/>
    <w:rsid w:val="001C57D0"/>
    <w:rsid w:val="001C6DA6"/>
    <w:rsid w:val="001D76BF"/>
    <w:rsid w:val="001E3C6A"/>
    <w:rsid w:val="001E5D7E"/>
    <w:rsid w:val="001F3866"/>
    <w:rsid w:val="001F3BC6"/>
    <w:rsid w:val="001F703F"/>
    <w:rsid w:val="00201A6A"/>
    <w:rsid w:val="00202DAB"/>
    <w:rsid w:val="00203AFD"/>
    <w:rsid w:val="002064A6"/>
    <w:rsid w:val="00210C58"/>
    <w:rsid w:val="00210FDE"/>
    <w:rsid w:val="002141ED"/>
    <w:rsid w:val="00216178"/>
    <w:rsid w:val="00216816"/>
    <w:rsid w:val="00220369"/>
    <w:rsid w:val="00220B16"/>
    <w:rsid w:val="002243B2"/>
    <w:rsid w:val="002244DB"/>
    <w:rsid w:val="002302D1"/>
    <w:rsid w:val="00233D40"/>
    <w:rsid w:val="00235B58"/>
    <w:rsid w:val="00236AE8"/>
    <w:rsid w:val="00237E3C"/>
    <w:rsid w:val="0024601A"/>
    <w:rsid w:val="00246452"/>
    <w:rsid w:val="00247196"/>
    <w:rsid w:val="00256359"/>
    <w:rsid w:val="002565CD"/>
    <w:rsid w:val="00257279"/>
    <w:rsid w:val="00267C9E"/>
    <w:rsid w:val="00271A5D"/>
    <w:rsid w:val="00275E65"/>
    <w:rsid w:val="00276C32"/>
    <w:rsid w:val="00283943"/>
    <w:rsid w:val="002A56DA"/>
    <w:rsid w:val="002A59EA"/>
    <w:rsid w:val="002A6896"/>
    <w:rsid w:val="002B1015"/>
    <w:rsid w:val="002B3C13"/>
    <w:rsid w:val="002B51C8"/>
    <w:rsid w:val="002D4855"/>
    <w:rsid w:val="002D52AF"/>
    <w:rsid w:val="002E2D8B"/>
    <w:rsid w:val="002E3FCB"/>
    <w:rsid w:val="002E51B8"/>
    <w:rsid w:val="002F3007"/>
    <w:rsid w:val="002F557C"/>
    <w:rsid w:val="00302783"/>
    <w:rsid w:val="00305C2B"/>
    <w:rsid w:val="00313AE7"/>
    <w:rsid w:val="00314F40"/>
    <w:rsid w:val="003169FC"/>
    <w:rsid w:val="0032177F"/>
    <w:rsid w:val="00322EFB"/>
    <w:rsid w:val="0032585B"/>
    <w:rsid w:val="00333F4F"/>
    <w:rsid w:val="00334234"/>
    <w:rsid w:val="003405FB"/>
    <w:rsid w:val="00340FA2"/>
    <w:rsid w:val="00341412"/>
    <w:rsid w:val="003445D4"/>
    <w:rsid w:val="00345C8F"/>
    <w:rsid w:val="00351A72"/>
    <w:rsid w:val="0035383B"/>
    <w:rsid w:val="00353B8A"/>
    <w:rsid w:val="0035479E"/>
    <w:rsid w:val="00357DB0"/>
    <w:rsid w:val="00361A43"/>
    <w:rsid w:val="00366E8F"/>
    <w:rsid w:val="00367535"/>
    <w:rsid w:val="0036766B"/>
    <w:rsid w:val="00375191"/>
    <w:rsid w:val="00375590"/>
    <w:rsid w:val="00375F43"/>
    <w:rsid w:val="00376AFE"/>
    <w:rsid w:val="00380C69"/>
    <w:rsid w:val="0038191A"/>
    <w:rsid w:val="003830C2"/>
    <w:rsid w:val="00385D3F"/>
    <w:rsid w:val="00390381"/>
    <w:rsid w:val="00391A56"/>
    <w:rsid w:val="00395CCA"/>
    <w:rsid w:val="003A076E"/>
    <w:rsid w:val="003A6C3E"/>
    <w:rsid w:val="003B4E33"/>
    <w:rsid w:val="003B582B"/>
    <w:rsid w:val="003B58AD"/>
    <w:rsid w:val="003D1BF2"/>
    <w:rsid w:val="003D2DBF"/>
    <w:rsid w:val="003D370E"/>
    <w:rsid w:val="003D75DD"/>
    <w:rsid w:val="003E0182"/>
    <w:rsid w:val="003E1A19"/>
    <w:rsid w:val="003E3916"/>
    <w:rsid w:val="003E4609"/>
    <w:rsid w:val="003E487C"/>
    <w:rsid w:val="003F4F01"/>
    <w:rsid w:val="003F5E16"/>
    <w:rsid w:val="00400A68"/>
    <w:rsid w:val="004079FF"/>
    <w:rsid w:val="0042403E"/>
    <w:rsid w:val="00431624"/>
    <w:rsid w:val="004316AE"/>
    <w:rsid w:val="0043415D"/>
    <w:rsid w:val="004354CC"/>
    <w:rsid w:val="00440574"/>
    <w:rsid w:val="00442674"/>
    <w:rsid w:val="00442687"/>
    <w:rsid w:val="004450EF"/>
    <w:rsid w:val="004530FF"/>
    <w:rsid w:val="00455E1C"/>
    <w:rsid w:val="0046155C"/>
    <w:rsid w:val="00461C32"/>
    <w:rsid w:val="004723EA"/>
    <w:rsid w:val="00472865"/>
    <w:rsid w:val="00474643"/>
    <w:rsid w:val="00475D86"/>
    <w:rsid w:val="00484DF3"/>
    <w:rsid w:val="004909DD"/>
    <w:rsid w:val="0049272A"/>
    <w:rsid w:val="00492A4D"/>
    <w:rsid w:val="0049568F"/>
    <w:rsid w:val="00496F83"/>
    <w:rsid w:val="004B4D70"/>
    <w:rsid w:val="004C4201"/>
    <w:rsid w:val="004C6F39"/>
    <w:rsid w:val="004C7AAF"/>
    <w:rsid w:val="004D1B13"/>
    <w:rsid w:val="004D29C4"/>
    <w:rsid w:val="004D2BA0"/>
    <w:rsid w:val="004D5966"/>
    <w:rsid w:val="004D702D"/>
    <w:rsid w:val="004E1C27"/>
    <w:rsid w:val="004E46AF"/>
    <w:rsid w:val="004E49C3"/>
    <w:rsid w:val="004E6C16"/>
    <w:rsid w:val="004F4298"/>
    <w:rsid w:val="004F53F5"/>
    <w:rsid w:val="004F75D0"/>
    <w:rsid w:val="0050005F"/>
    <w:rsid w:val="0050159E"/>
    <w:rsid w:val="00507B1B"/>
    <w:rsid w:val="00514230"/>
    <w:rsid w:val="0051608F"/>
    <w:rsid w:val="00520599"/>
    <w:rsid w:val="00522795"/>
    <w:rsid w:val="00524DC3"/>
    <w:rsid w:val="00525F63"/>
    <w:rsid w:val="00530F3F"/>
    <w:rsid w:val="00534E98"/>
    <w:rsid w:val="0053601B"/>
    <w:rsid w:val="00544480"/>
    <w:rsid w:val="0054521C"/>
    <w:rsid w:val="00545649"/>
    <w:rsid w:val="00546CAD"/>
    <w:rsid w:val="00547669"/>
    <w:rsid w:val="00552A6D"/>
    <w:rsid w:val="00572343"/>
    <w:rsid w:val="00580437"/>
    <w:rsid w:val="005839C1"/>
    <w:rsid w:val="00586DCF"/>
    <w:rsid w:val="00587555"/>
    <w:rsid w:val="00587DA4"/>
    <w:rsid w:val="00587DD4"/>
    <w:rsid w:val="0059063B"/>
    <w:rsid w:val="00596F4F"/>
    <w:rsid w:val="005A5B57"/>
    <w:rsid w:val="005A6FE5"/>
    <w:rsid w:val="005A79B9"/>
    <w:rsid w:val="005B031D"/>
    <w:rsid w:val="005B08A2"/>
    <w:rsid w:val="005C4EAF"/>
    <w:rsid w:val="005C701F"/>
    <w:rsid w:val="005D46F2"/>
    <w:rsid w:val="005D67DE"/>
    <w:rsid w:val="005D72DE"/>
    <w:rsid w:val="005E3BBE"/>
    <w:rsid w:val="005E617F"/>
    <w:rsid w:val="005F59E3"/>
    <w:rsid w:val="006016EE"/>
    <w:rsid w:val="00602FB6"/>
    <w:rsid w:val="00603A60"/>
    <w:rsid w:val="00604C01"/>
    <w:rsid w:val="00610681"/>
    <w:rsid w:val="00613B8A"/>
    <w:rsid w:val="00614488"/>
    <w:rsid w:val="006144C5"/>
    <w:rsid w:val="006364B0"/>
    <w:rsid w:val="00640A6A"/>
    <w:rsid w:val="00641711"/>
    <w:rsid w:val="00653C9F"/>
    <w:rsid w:val="00666716"/>
    <w:rsid w:val="00670EDD"/>
    <w:rsid w:val="0067112D"/>
    <w:rsid w:val="00680764"/>
    <w:rsid w:val="00690C60"/>
    <w:rsid w:val="0069119A"/>
    <w:rsid w:val="0069161F"/>
    <w:rsid w:val="0069473A"/>
    <w:rsid w:val="0069765E"/>
    <w:rsid w:val="006A2EA4"/>
    <w:rsid w:val="006A339C"/>
    <w:rsid w:val="006A3DC3"/>
    <w:rsid w:val="006B0869"/>
    <w:rsid w:val="006B1B00"/>
    <w:rsid w:val="006C767B"/>
    <w:rsid w:val="006D087D"/>
    <w:rsid w:val="006D168C"/>
    <w:rsid w:val="006D7E47"/>
    <w:rsid w:val="006E75F2"/>
    <w:rsid w:val="006F5062"/>
    <w:rsid w:val="006F52F9"/>
    <w:rsid w:val="006F726B"/>
    <w:rsid w:val="007008EC"/>
    <w:rsid w:val="00701C82"/>
    <w:rsid w:val="007060FC"/>
    <w:rsid w:val="0071470A"/>
    <w:rsid w:val="00720312"/>
    <w:rsid w:val="00720DB7"/>
    <w:rsid w:val="00721BC8"/>
    <w:rsid w:val="00723E86"/>
    <w:rsid w:val="007248DC"/>
    <w:rsid w:val="007264DF"/>
    <w:rsid w:val="00726D16"/>
    <w:rsid w:val="00732F93"/>
    <w:rsid w:val="00750884"/>
    <w:rsid w:val="007512AE"/>
    <w:rsid w:val="00752A0B"/>
    <w:rsid w:val="007560AC"/>
    <w:rsid w:val="00757159"/>
    <w:rsid w:val="00760A1D"/>
    <w:rsid w:val="00762F2C"/>
    <w:rsid w:val="007660D8"/>
    <w:rsid w:val="00767A53"/>
    <w:rsid w:val="00771691"/>
    <w:rsid w:val="00775C31"/>
    <w:rsid w:val="00777053"/>
    <w:rsid w:val="00784BAC"/>
    <w:rsid w:val="007867F0"/>
    <w:rsid w:val="00792964"/>
    <w:rsid w:val="0079462F"/>
    <w:rsid w:val="007A01DD"/>
    <w:rsid w:val="007A2166"/>
    <w:rsid w:val="007A5C9A"/>
    <w:rsid w:val="007B1B4C"/>
    <w:rsid w:val="007B4525"/>
    <w:rsid w:val="007C2C05"/>
    <w:rsid w:val="007C2CB6"/>
    <w:rsid w:val="007C4358"/>
    <w:rsid w:val="007C45E2"/>
    <w:rsid w:val="007D2746"/>
    <w:rsid w:val="007D38F7"/>
    <w:rsid w:val="007D7A42"/>
    <w:rsid w:val="007E0A81"/>
    <w:rsid w:val="007E26AB"/>
    <w:rsid w:val="007E29A4"/>
    <w:rsid w:val="007E2D64"/>
    <w:rsid w:val="007E38DC"/>
    <w:rsid w:val="007F135D"/>
    <w:rsid w:val="007F56D6"/>
    <w:rsid w:val="007F7689"/>
    <w:rsid w:val="008027D4"/>
    <w:rsid w:val="00810F4F"/>
    <w:rsid w:val="008119A9"/>
    <w:rsid w:val="00812609"/>
    <w:rsid w:val="00825228"/>
    <w:rsid w:val="0083025B"/>
    <w:rsid w:val="008343C0"/>
    <w:rsid w:val="008345F2"/>
    <w:rsid w:val="00840000"/>
    <w:rsid w:val="00840241"/>
    <w:rsid w:val="008425A9"/>
    <w:rsid w:val="0084397D"/>
    <w:rsid w:val="00845D27"/>
    <w:rsid w:val="00850FD7"/>
    <w:rsid w:val="0085480A"/>
    <w:rsid w:val="00855C03"/>
    <w:rsid w:val="00864AFB"/>
    <w:rsid w:val="00871DA2"/>
    <w:rsid w:val="00872F3D"/>
    <w:rsid w:val="008742CC"/>
    <w:rsid w:val="00881B9C"/>
    <w:rsid w:val="0088400C"/>
    <w:rsid w:val="00885981"/>
    <w:rsid w:val="008916FD"/>
    <w:rsid w:val="0089521F"/>
    <w:rsid w:val="008B18A1"/>
    <w:rsid w:val="008B437E"/>
    <w:rsid w:val="008B4D99"/>
    <w:rsid w:val="008B74C1"/>
    <w:rsid w:val="008C1BEC"/>
    <w:rsid w:val="008C47FA"/>
    <w:rsid w:val="008D06B2"/>
    <w:rsid w:val="008D0ACD"/>
    <w:rsid w:val="008D4752"/>
    <w:rsid w:val="008D4B13"/>
    <w:rsid w:val="008D7506"/>
    <w:rsid w:val="008F421F"/>
    <w:rsid w:val="008F54F6"/>
    <w:rsid w:val="008F5EF4"/>
    <w:rsid w:val="008F6EAD"/>
    <w:rsid w:val="0090468E"/>
    <w:rsid w:val="00906875"/>
    <w:rsid w:val="00906ABC"/>
    <w:rsid w:val="00910D21"/>
    <w:rsid w:val="00916883"/>
    <w:rsid w:val="0092511B"/>
    <w:rsid w:val="00935C23"/>
    <w:rsid w:val="0094022A"/>
    <w:rsid w:val="00940840"/>
    <w:rsid w:val="009408D4"/>
    <w:rsid w:val="00941821"/>
    <w:rsid w:val="0094649C"/>
    <w:rsid w:val="00950512"/>
    <w:rsid w:val="00951E05"/>
    <w:rsid w:val="00952A85"/>
    <w:rsid w:val="00952EA2"/>
    <w:rsid w:val="009550AF"/>
    <w:rsid w:val="009552AA"/>
    <w:rsid w:val="009702A0"/>
    <w:rsid w:val="00972CA9"/>
    <w:rsid w:val="00975458"/>
    <w:rsid w:val="009814F4"/>
    <w:rsid w:val="00983F8D"/>
    <w:rsid w:val="00992F1A"/>
    <w:rsid w:val="00993E0F"/>
    <w:rsid w:val="009A3D05"/>
    <w:rsid w:val="009A429A"/>
    <w:rsid w:val="009A746C"/>
    <w:rsid w:val="009B3AC2"/>
    <w:rsid w:val="009C2E34"/>
    <w:rsid w:val="009C4511"/>
    <w:rsid w:val="009D1E63"/>
    <w:rsid w:val="009D6839"/>
    <w:rsid w:val="009D68AC"/>
    <w:rsid w:val="009E58F5"/>
    <w:rsid w:val="009F0DA8"/>
    <w:rsid w:val="009F138C"/>
    <w:rsid w:val="009F2BED"/>
    <w:rsid w:val="009F333C"/>
    <w:rsid w:val="009F77A1"/>
    <w:rsid w:val="00A010E3"/>
    <w:rsid w:val="00A024CD"/>
    <w:rsid w:val="00A0348F"/>
    <w:rsid w:val="00A07467"/>
    <w:rsid w:val="00A0777A"/>
    <w:rsid w:val="00A07AAE"/>
    <w:rsid w:val="00A1177B"/>
    <w:rsid w:val="00A139C8"/>
    <w:rsid w:val="00A149C8"/>
    <w:rsid w:val="00A159D6"/>
    <w:rsid w:val="00A2282D"/>
    <w:rsid w:val="00A22C8B"/>
    <w:rsid w:val="00A231B5"/>
    <w:rsid w:val="00A3048C"/>
    <w:rsid w:val="00A32B95"/>
    <w:rsid w:val="00A330C4"/>
    <w:rsid w:val="00A33F38"/>
    <w:rsid w:val="00A3544F"/>
    <w:rsid w:val="00A3592D"/>
    <w:rsid w:val="00A36B28"/>
    <w:rsid w:val="00A42760"/>
    <w:rsid w:val="00A50A8C"/>
    <w:rsid w:val="00A562F7"/>
    <w:rsid w:val="00A675B1"/>
    <w:rsid w:val="00A7050A"/>
    <w:rsid w:val="00A751FF"/>
    <w:rsid w:val="00A762C0"/>
    <w:rsid w:val="00A8057E"/>
    <w:rsid w:val="00A8260F"/>
    <w:rsid w:val="00A832B7"/>
    <w:rsid w:val="00A868BB"/>
    <w:rsid w:val="00A87A59"/>
    <w:rsid w:val="00A92D84"/>
    <w:rsid w:val="00A96962"/>
    <w:rsid w:val="00A96FE9"/>
    <w:rsid w:val="00A971E0"/>
    <w:rsid w:val="00AA4F9B"/>
    <w:rsid w:val="00AA6D7D"/>
    <w:rsid w:val="00AA7C46"/>
    <w:rsid w:val="00AB3164"/>
    <w:rsid w:val="00AB7EAB"/>
    <w:rsid w:val="00AC054C"/>
    <w:rsid w:val="00AC0B74"/>
    <w:rsid w:val="00AC0ED9"/>
    <w:rsid w:val="00AC42D0"/>
    <w:rsid w:val="00AC4471"/>
    <w:rsid w:val="00AC6032"/>
    <w:rsid w:val="00AC639F"/>
    <w:rsid w:val="00AC6F87"/>
    <w:rsid w:val="00AC7A3C"/>
    <w:rsid w:val="00AD2161"/>
    <w:rsid w:val="00AD2440"/>
    <w:rsid w:val="00AD521D"/>
    <w:rsid w:val="00AE13D8"/>
    <w:rsid w:val="00AE1808"/>
    <w:rsid w:val="00AE1A36"/>
    <w:rsid w:val="00AE2C98"/>
    <w:rsid w:val="00AE4EE6"/>
    <w:rsid w:val="00AE539D"/>
    <w:rsid w:val="00AF18D9"/>
    <w:rsid w:val="00AF441D"/>
    <w:rsid w:val="00AF563F"/>
    <w:rsid w:val="00AF6091"/>
    <w:rsid w:val="00AF641F"/>
    <w:rsid w:val="00AF7139"/>
    <w:rsid w:val="00B02EEA"/>
    <w:rsid w:val="00B06306"/>
    <w:rsid w:val="00B06A4C"/>
    <w:rsid w:val="00B10CE6"/>
    <w:rsid w:val="00B10EBB"/>
    <w:rsid w:val="00B23548"/>
    <w:rsid w:val="00B23ACE"/>
    <w:rsid w:val="00B23E62"/>
    <w:rsid w:val="00B304EE"/>
    <w:rsid w:val="00B30D0A"/>
    <w:rsid w:val="00B31FC9"/>
    <w:rsid w:val="00B338C3"/>
    <w:rsid w:val="00B37826"/>
    <w:rsid w:val="00B40969"/>
    <w:rsid w:val="00B44D85"/>
    <w:rsid w:val="00B47D33"/>
    <w:rsid w:val="00B53641"/>
    <w:rsid w:val="00B6039E"/>
    <w:rsid w:val="00B610D3"/>
    <w:rsid w:val="00B679BD"/>
    <w:rsid w:val="00B718AF"/>
    <w:rsid w:val="00B71CF1"/>
    <w:rsid w:val="00B8419F"/>
    <w:rsid w:val="00B85C7C"/>
    <w:rsid w:val="00B901CA"/>
    <w:rsid w:val="00B90D2B"/>
    <w:rsid w:val="00B9115A"/>
    <w:rsid w:val="00B96DE8"/>
    <w:rsid w:val="00BB0276"/>
    <w:rsid w:val="00BB22E0"/>
    <w:rsid w:val="00BB31B0"/>
    <w:rsid w:val="00BC151B"/>
    <w:rsid w:val="00BC2528"/>
    <w:rsid w:val="00BC64D6"/>
    <w:rsid w:val="00BD1017"/>
    <w:rsid w:val="00BD3BCE"/>
    <w:rsid w:val="00BD464B"/>
    <w:rsid w:val="00BD6D14"/>
    <w:rsid w:val="00BE22F8"/>
    <w:rsid w:val="00BE6367"/>
    <w:rsid w:val="00BE6FFF"/>
    <w:rsid w:val="00BE7BD1"/>
    <w:rsid w:val="00C00428"/>
    <w:rsid w:val="00C05E9D"/>
    <w:rsid w:val="00C11405"/>
    <w:rsid w:val="00C12754"/>
    <w:rsid w:val="00C2035A"/>
    <w:rsid w:val="00C22434"/>
    <w:rsid w:val="00C269C7"/>
    <w:rsid w:val="00C272C3"/>
    <w:rsid w:val="00C31D4C"/>
    <w:rsid w:val="00C3348A"/>
    <w:rsid w:val="00C35D11"/>
    <w:rsid w:val="00C423A9"/>
    <w:rsid w:val="00C47A9E"/>
    <w:rsid w:val="00C61415"/>
    <w:rsid w:val="00C62CB3"/>
    <w:rsid w:val="00C71327"/>
    <w:rsid w:val="00C73628"/>
    <w:rsid w:val="00C77E3A"/>
    <w:rsid w:val="00C8398D"/>
    <w:rsid w:val="00C83C75"/>
    <w:rsid w:val="00C86BA1"/>
    <w:rsid w:val="00C90251"/>
    <w:rsid w:val="00C90285"/>
    <w:rsid w:val="00C93A5E"/>
    <w:rsid w:val="00CB0916"/>
    <w:rsid w:val="00CB4257"/>
    <w:rsid w:val="00CB4C00"/>
    <w:rsid w:val="00CC0391"/>
    <w:rsid w:val="00CC1AEC"/>
    <w:rsid w:val="00CC356F"/>
    <w:rsid w:val="00CD0C54"/>
    <w:rsid w:val="00CE1C95"/>
    <w:rsid w:val="00CE281A"/>
    <w:rsid w:val="00CE4D30"/>
    <w:rsid w:val="00CE6FB2"/>
    <w:rsid w:val="00CF4012"/>
    <w:rsid w:val="00CF6E2B"/>
    <w:rsid w:val="00CF7140"/>
    <w:rsid w:val="00D012D6"/>
    <w:rsid w:val="00D01BC5"/>
    <w:rsid w:val="00D03E8A"/>
    <w:rsid w:val="00D05613"/>
    <w:rsid w:val="00D06413"/>
    <w:rsid w:val="00D14575"/>
    <w:rsid w:val="00D2411F"/>
    <w:rsid w:val="00D25EE9"/>
    <w:rsid w:val="00D26463"/>
    <w:rsid w:val="00D27D44"/>
    <w:rsid w:val="00D37A34"/>
    <w:rsid w:val="00D4614A"/>
    <w:rsid w:val="00D52832"/>
    <w:rsid w:val="00D52CB6"/>
    <w:rsid w:val="00D54BE6"/>
    <w:rsid w:val="00D6068A"/>
    <w:rsid w:val="00D6657E"/>
    <w:rsid w:val="00D81D06"/>
    <w:rsid w:val="00D82606"/>
    <w:rsid w:val="00D86FB1"/>
    <w:rsid w:val="00D90C6B"/>
    <w:rsid w:val="00D926DE"/>
    <w:rsid w:val="00D95928"/>
    <w:rsid w:val="00D95F0F"/>
    <w:rsid w:val="00D964E5"/>
    <w:rsid w:val="00DA6C2C"/>
    <w:rsid w:val="00DB404A"/>
    <w:rsid w:val="00DC0D59"/>
    <w:rsid w:val="00DC394F"/>
    <w:rsid w:val="00DC3A2F"/>
    <w:rsid w:val="00DE10A6"/>
    <w:rsid w:val="00DE6867"/>
    <w:rsid w:val="00DF6FC7"/>
    <w:rsid w:val="00DF7CCA"/>
    <w:rsid w:val="00E00EF7"/>
    <w:rsid w:val="00E017D7"/>
    <w:rsid w:val="00E03305"/>
    <w:rsid w:val="00E03BAF"/>
    <w:rsid w:val="00E04EA4"/>
    <w:rsid w:val="00E05631"/>
    <w:rsid w:val="00E06F01"/>
    <w:rsid w:val="00E11F1C"/>
    <w:rsid w:val="00E13821"/>
    <w:rsid w:val="00E1663F"/>
    <w:rsid w:val="00E321D2"/>
    <w:rsid w:val="00E358D5"/>
    <w:rsid w:val="00E402AB"/>
    <w:rsid w:val="00E45BB9"/>
    <w:rsid w:val="00E46501"/>
    <w:rsid w:val="00E47EF5"/>
    <w:rsid w:val="00E5443D"/>
    <w:rsid w:val="00E55C5F"/>
    <w:rsid w:val="00E60CF8"/>
    <w:rsid w:val="00E67681"/>
    <w:rsid w:val="00E71D87"/>
    <w:rsid w:val="00E771E9"/>
    <w:rsid w:val="00E80FCF"/>
    <w:rsid w:val="00E8402A"/>
    <w:rsid w:val="00E84F07"/>
    <w:rsid w:val="00E91B22"/>
    <w:rsid w:val="00E94CED"/>
    <w:rsid w:val="00EA0197"/>
    <w:rsid w:val="00EA0639"/>
    <w:rsid w:val="00EA239C"/>
    <w:rsid w:val="00EB2EF5"/>
    <w:rsid w:val="00EC3110"/>
    <w:rsid w:val="00EC3E43"/>
    <w:rsid w:val="00EC4CA8"/>
    <w:rsid w:val="00ED1B50"/>
    <w:rsid w:val="00ED1F14"/>
    <w:rsid w:val="00EE2FDB"/>
    <w:rsid w:val="00EE3371"/>
    <w:rsid w:val="00EE7863"/>
    <w:rsid w:val="00EE79B2"/>
    <w:rsid w:val="00EF26A0"/>
    <w:rsid w:val="00F07366"/>
    <w:rsid w:val="00F104D7"/>
    <w:rsid w:val="00F10632"/>
    <w:rsid w:val="00F22F59"/>
    <w:rsid w:val="00F24A8B"/>
    <w:rsid w:val="00F25D84"/>
    <w:rsid w:val="00F27C39"/>
    <w:rsid w:val="00F35F19"/>
    <w:rsid w:val="00F43C00"/>
    <w:rsid w:val="00F43E8F"/>
    <w:rsid w:val="00F45A5E"/>
    <w:rsid w:val="00F50E5C"/>
    <w:rsid w:val="00F5228A"/>
    <w:rsid w:val="00F649C6"/>
    <w:rsid w:val="00F660C3"/>
    <w:rsid w:val="00F700B3"/>
    <w:rsid w:val="00F731A2"/>
    <w:rsid w:val="00F7447A"/>
    <w:rsid w:val="00F74519"/>
    <w:rsid w:val="00F770CE"/>
    <w:rsid w:val="00F905A7"/>
    <w:rsid w:val="00F93CA1"/>
    <w:rsid w:val="00F967EA"/>
    <w:rsid w:val="00FA4FD8"/>
    <w:rsid w:val="00FA7207"/>
    <w:rsid w:val="00FB0C27"/>
    <w:rsid w:val="00FC01DF"/>
    <w:rsid w:val="00FC069F"/>
    <w:rsid w:val="00FC1039"/>
    <w:rsid w:val="00FC1518"/>
    <w:rsid w:val="00FC20D7"/>
    <w:rsid w:val="00FC3ABF"/>
    <w:rsid w:val="00FD1589"/>
    <w:rsid w:val="00FD378E"/>
    <w:rsid w:val="00FD48FD"/>
    <w:rsid w:val="00FD511B"/>
    <w:rsid w:val="00FE20F0"/>
    <w:rsid w:val="00FE5053"/>
    <w:rsid w:val="00FE5DE7"/>
    <w:rsid w:val="00FF25FB"/>
    <w:rsid w:val="00FF50A9"/>
    <w:rsid w:val="00FF73F3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D4B2CC"/>
  <w15:docId w15:val="{9E23697A-49A6-4E87-AC95-30858F40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272A"/>
    <w:pPr>
      <w:jc w:val="both"/>
    </w:pPr>
    <w:rPr>
      <w:rFonts w:asciiTheme="majorHAnsi" w:hAnsiTheme="majorHAnsi"/>
      <w:sz w:val="23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775C31"/>
    <w:pPr>
      <w:framePr w:hSpace="187" w:wrap="around" w:vAnchor="page" w:hAnchor="page" w:x="1" w:y="4261"/>
      <w:spacing w:line="216" w:lineRule="auto"/>
      <w:ind w:left="1417"/>
      <w:jc w:val="left"/>
      <w:outlineLvl w:val="0"/>
    </w:pPr>
    <w:rPr>
      <w:rFonts w:eastAsiaTheme="majorEastAsia" w:cstheme="minorHAnsi"/>
      <w:color w:val="31418D"/>
      <w:sz w:val="72"/>
      <w:szCs w:val="7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5C31"/>
    <w:pPr>
      <w:keepNext/>
      <w:keepLines/>
      <w:numPr>
        <w:numId w:val="5"/>
      </w:numPr>
      <w:spacing w:before="40" w:after="0"/>
      <w:ind w:left="357" w:hanging="357"/>
      <w:jc w:val="left"/>
      <w:outlineLvl w:val="1"/>
    </w:pPr>
    <w:rPr>
      <w:rFonts w:ascii="Calibri Light" w:eastAsia="Times New Roman" w:hAnsi="Calibri Light" w:cs="Times New Roman"/>
      <w:b/>
      <w:color w:val="31418D"/>
      <w:sz w:val="36"/>
      <w:szCs w:val="26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75C31"/>
    <w:pPr>
      <w:keepNext/>
      <w:keepLines/>
      <w:numPr>
        <w:numId w:val="6"/>
      </w:numPr>
      <w:spacing w:before="40" w:after="0"/>
      <w:jc w:val="left"/>
      <w:outlineLvl w:val="2"/>
    </w:pPr>
    <w:rPr>
      <w:rFonts w:ascii="Calibri Light" w:eastAsia="Times New Roman" w:hAnsi="Calibri Light" w:cs="Times New Roman"/>
      <w:color w:val="31418D"/>
      <w:sz w:val="28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775C31"/>
    <w:pPr>
      <w:keepNext/>
      <w:keepLines/>
      <w:numPr>
        <w:numId w:val="7"/>
      </w:numPr>
      <w:spacing w:before="40" w:after="0"/>
      <w:jc w:val="left"/>
      <w:outlineLvl w:val="3"/>
    </w:pPr>
    <w:rPr>
      <w:rFonts w:ascii="Calibri Light" w:eastAsia="Times New Roman" w:hAnsi="Calibri Light" w:cs="Times New Roman"/>
      <w:color w:val="31418D"/>
      <w:szCs w:val="23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263CC"/>
    <w:pPr>
      <w:keepNext/>
      <w:keepLines/>
      <w:numPr>
        <w:numId w:val="4"/>
      </w:numPr>
      <w:spacing w:before="40" w:after="0"/>
      <w:jc w:val="left"/>
      <w:outlineLvl w:val="4"/>
    </w:pPr>
    <w:rPr>
      <w:rFonts w:eastAsiaTheme="majorEastAsia" w:cstheme="majorBidi"/>
      <w:color w:val="161616" w:themeColor="background2" w:themeShade="1A"/>
    </w:rPr>
  </w:style>
  <w:style w:type="paragraph" w:styleId="Nagwek6">
    <w:name w:val="heading 6"/>
    <w:basedOn w:val="Akapitzlist"/>
    <w:next w:val="Normalny"/>
    <w:link w:val="Nagwek6Znak"/>
    <w:uiPriority w:val="9"/>
    <w:unhideWhenUsed/>
    <w:qFormat/>
    <w:rsid w:val="00775C31"/>
    <w:pPr>
      <w:keepNext/>
      <w:keepLines/>
      <w:numPr>
        <w:numId w:val="8"/>
      </w:numPr>
      <w:spacing w:before="40" w:after="0"/>
      <w:jc w:val="left"/>
      <w:outlineLvl w:val="5"/>
    </w:pPr>
    <w:rPr>
      <w:rFonts w:ascii="Calibri Light" w:eastAsia="Times New Roman" w:hAnsi="Calibri Light" w:cs="Times New Roman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95CCA"/>
    <w:pPr>
      <w:spacing w:after="0" w:line="240" w:lineRule="auto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75C31"/>
    <w:rPr>
      <w:rFonts w:eastAsiaTheme="majorEastAsia" w:cstheme="minorHAnsi"/>
      <w:color w:val="31418D"/>
      <w:sz w:val="72"/>
      <w:szCs w:val="72"/>
    </w:rPr>
  </w:style>
  <w:style w:type="paragraph" w:styleId="Tytu">
    <w:name w:val="Title"/>
    <w:basedOn w:val="Normalny"/>
    <w:next w:val="Normalny"/>
    <w:link w:val="TytuZnak"/>
    <w:uiPriority w:val="10"/>
    <w:qFormat/>
    <w:rsid w:val="00314F40"/>
    <w:pPr>
      <w:spacing w:after="0" w:line="240" w:lineRule="auto"/>
      <w:contextualSpacing/>
      <w:jc w:val="left"/>
    </w:pPr>
    <w:rPr>
      <w:rFonts w:eastAsiaTheme="majorEastAsia" w:cstheme="majorBidi"/>
      <w:color w:val="31418D"/>
      <w:spacing w:val="-10"/>
      <w:kern w:val="28"/>
      <w:sz w:val="5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F40"/>
    <w:rPr>
      <w:rFonts w:asciiTheme="majorHAnsi" w:eastAsiaTheme="majorEastAsia" w:hAnsiTheme="majorHAnsi" w:cstheme="majorBidi"/>
      <w:color w:val="31418D"/>
      <w:spacing w:val="-10"/>
      <w:kern w:val="28"/>
      <w:sz w:val="5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775C31"/>
    <w:rPr>
      <w:rFonts w:ascii="Calibri Light" w:eastAsia="Times New Roman" w:hAnsi="Calibri Light" w:cs="Times New Roman"/>
      <w:b/>
      <w:color w:val="31418D"/>
      <w:sz w:val="3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75C31"/>
    <w:rPr>
      <w:rFonts w:ascii="Calibri Light" w:eastAsia="Times New Roman" w:hAnsi="Calibri Light" w:cs="Times New Roman"/>
      <w:color w:val="31418D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75C31"/>
    <w:rPr>
      <w:rFonts w:ascii="Calibri Light" w:eastAsia="Times New Roman" w:hAnsi="Calibri Light" w:cs="Times New Roman"/>
      <w:color w:val="31418D"/>
      <w:sz w:val="23"/>
      <w:szCs w:val="23"/>
    </w:rPr>
  </w:style>
  <w:style w:type="character" w:customStyle="1" w:styleId="Nagwek5Znak">
    <w:name w:val="Nagłówek 5 Znak"/>
    <w:basedOn w:val="Domylnaczcionkaakapitu"/>
    <w:link w:val="Nagwek5"/>
    <w:uiPriority w:val="9"/>
    <w:rsid w:val="001263CC"/>
    <w:rPr>
      <w:rFonts w:asciiTheme="majorHAnsi" w:eastAsiaTheme="majorEastAsia" w:hAnsiTheme="majorHAnsi" w:cstheme="majorBidi"/>
      <w:color w:val="161616" w:themeColor="background2" w:themeShade="1A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3A2F"/>
    <w:pPr>
      <w:numPr>
        <w:ilvl w:val="1"/>
      </w:numPr>
      <w:jc w:val="left"/>
    </w:pPr>
    <w:rPr>
      <w:rFonts w:eastAsiaTheme="minorEastAsia"/>
      <w:color w:val="4A4A49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3A2F"/>
    <w:rPr>
      <w:rFonts w:asciiTheme="majorHAnsi" w:eastAsiaTheme="minorEastAsia" w:hAnsiTheme="majorHAnsi"/>
      <w:color w:val="4A4A49"/>
      <w:spacing w:val="15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0369"/>
    <w:pPr>
      <w:framePr w:wrap="around"/>
      <w:ind w:left="0"/>
      <w:outlineLvl w:val="9"/>
    </w:pPr>
    <w:rPr>
      <w:b/>
      <w:color w:val="243069" w:themeColor="accent1" w:themeShade="BF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56D6"/>
    <w:pPr>
      <w:tabs>
        <w:tab w:val="left" w:pos="880"/>
        <w:tab w:val="right" w:leader="dot" w:pos="9060"/>
      </w:tabs>
      <w:spacing w:after="100"/>
      <w:jc w:val="left"/>
    </w:pPr>
    <w:rPr>
      <w:rFonts w:eastAsiaTheme="minorEastAsia" w:cs="Times New Roman"/>
      <w:color w:val="4A4A49" w:themeColor="text2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F56D6"/>
    <w:pPr>
      <w:tabs>
        <w:tab w:val="left" w:pos="440"/>
        <w:tab w:val="right" w:leader="dot" w:pos="9060"/>
      </w:tabs>
      <w:spacing w:before="120" w:after="220"/>
      <w:jc w:val="left"/>
    </w:pPr>
    <w:rPr>
      <w:rFonts w:eastAsiaTheme="minorEastAsia" w:cs="Times New Roman"/>
      <w:b/>
      <w:color w:val="4A4A49" w:themeColor="text2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F56D6"/>
    <w:pPr>
      <w:spacing w:after="100"/>
      <w:jc w:val="left"/>
    </w:pPr>
    <w:rPr>
      <w:rFonts w:eastAsiaTheme="minorEastAsia" w:cs="Times New Roman"/>
      <w:color w:val="4A4A49" w:themeColor="text2"/>
      <w:sz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220369"/>
    <w:rPr>
      <w:color w:val="31418D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75E65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6D7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E47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D7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E47"/>
    <w:rPr>
      <w:sz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3FCB"/>
    <w:rPr>
      <w:sz w:val="24"/>
    </w:rPr>
  </w:style>
  <w:style w:type="paragraph" w:customStyle="1" w:styleId="Ramka1">
    <w:name w:val="Ramka 1"/>
    <w:basedOn w:val="Normalny"/>
    <w:link w:val="Ramka1Znak"/>
    <w:qFormat/>
    <w:rsid w:val="00A42760"/>
    <w:pPr>
      <w:pBdr>
        <w:top w:val="single" w:sz="4" w:space="3" w:color="31418D"/>
        <w:left w:val="single" w:sz="4" w:space="4" w:color="31418D"/>
        <w:bottom w:val="single" w:sz="4" w:space="3" w:color="31418D"/>
        <w:right w:val="single" w:sz="4" w:space="4" w:color="31418D"/>
      </w:pBdr>
    </w:pPr>
  </w:style>
  <w:style w:type="paragraph" w:customStyle="1" w:styleId="Ramka2">
    <w:name w:val="Ramka 2"/>
    <w:basedOn w:val="Ramka1"/>
    <w:link w:val="Ramka2Znak"/>
    <w:qFormat/>
    <w:rsid w:val="00A42760"/>
    <w:pPr>
      <w:pBdr>
        <w:top w:val="single" w:sz="4" w:space="3" w:color="4A4A49"/>
        <w:left w:val="single" w:sz="4" w:space="4" w:color="4A4A49"/>
        <w:bottom w:val="single" w:sz="4" w:space="3" w:color="4A4A49"/>
        <w:right w:val="single" w:sz="4" w:space="4" w:color="4A4A49"/>
      </w:pBdr>
    </w:pPr>
  </w:style>
  <w:style w:type="character" w:customStyle="1" w:styleId="Ramka1Znak">
    <w:name w:val="Ramka 1 Znak"/>
    <w:basedOn w:val="Domylnaczcionkaakapitu"/>
    <w:link w:val="Ramka1"/>
    <w:rsid w:val="00A42760"/>
    <w:rPr>
      <w:sz w:val="24"/>
    </w:rPr>
  </w:style>
  <w:style w:type="paragraph" w:customStyle="1" w:styleId="Ramka3">
    <w:name w:val="Ramka 3"/>
    <w:basedOn w:val="Ramka1"/>
    <w:link w:val="Ramka3Znak"/>
    <w:qFormat/>
    <w:rsid w:val="00A96FE9"/>
    <w:pPr>
      <w:shd w:val="clear" w:color="auto" w:fill="F2F2F2" w:themeFill="background1" w:themeFillShade="F2"/>
    </w:pPr>
  </w:style>
  <w:style w:type="character" w:customStyle="1" w:styleId="Ramka2Znak">
    <w:name w:val="Ramka 2 Znak"/>
    <w:basedOn w:val="Ramka1Znak"/>
    <w:link w:val="Ramka2"/>
    <w:rsid w:val="00A42760"/>
    <w:rPr>
      <w:sz w:val="24"/>
    </w:rPr>
  </w:style>
  <w:style w:type="paragraph" w:customStyle="1" w:styleId="Ramka4">
    <w:name w:val="Ramka 4"/>
    <w:basedOn w:val="Ramka2"/>
    <w:link w:val="Ramka4Znak"/>
    <w:qFormat/>
    <w:rsid w:val="00B06306"/>
    <w:pPr>
      <w:pBdr>
        <w:top w:val="single" w:sz="4" w:space="3" w:color="BFBFBF" w:themeColor="background1" w:themeShade="BF"/>
        <w:left w:val="single" w:sz="4" w:space="4" w:color="BFBFBF" w:themeColor="background1" w:themeShade="BF"/>
        <w:bottom w:val="single" w:sz="4" w:space="3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</w:style>
  <w:style w:type="character" w:customStyle="1" w:styleId="Ramka3Znak">
    <w:name w:val="Ramka 3 Znak"/>
    <w:basedOn w:val="Ramka1Znak"/>
    <w:link w:val="Ramka3"/>
    <w:rsid w:val="00A96FE9"/>
    <w:rPr>
      <w:rFonts w:asciiTheme="majorHAnsi" w:hAnsiTheme="majorHAnsi"/>
      <w:sz w:val="23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D26463"/>
    <w:rPr>
      <w:i/>
      <w:iCs/>
      <w:color w:val="31418D"/>
    </w:rPr>
  </w:style>
  <w:style w:type="character" w:customStyle="1" w:styleId="Ramka4Znak">
    <w:name w:val="Ramka 4 Znak"/>
    <w:basedOn w:val="Ramka2Znak"/>
    <w:link w:val="Ramka4"/>
    <w:rsid w:val="00B06306"/>
    <w:rPr>
      <w:rFonts w:asciiTheme="majorHAnsi" w:hAnsiTheme="majorHAnsi"/>
      <w:sz w:val="23"/>
      <w:shd w:val="clear" w:color="auto" w:fill="F2F2F2" w:themeFill="background1" w:themeFillShade="F2"/>
    </w:rPr>
  </w:style>
  <w:style w:type="character" w:styleId="Uwydatnienie">
    <w:name w:val="Emphasis"/>
    <w:basedOn w:val="Domylnaczcionkaakapitu"/>
    <w:uiPriority w:val="20"/>
    <w:qFormat/>
    <w:rsid w:val="00D26463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26463"/>
    <w:rPr>
      <w:i/>
      <w:iCs/>
      <w:color w:val="31418D" w:themeColor="accent1"/>
    </w:rPr>
  </w:style>
  <w:style w:type="character" w:styleId="Pogrubienie">
    <w:name w:val="Strong"/>
    <w:basedOn w:val="Domylnaczcionkaakapitu"/>
    <w:uiPriority w:val="22"/>
    <w:qFormat/>
    <w:rsid w:val="00CF6E2B"/>
    <w:rPr>
      <w:b/>
      <w:bCs/>
      <w:color w:val="4A4A49" w:themeColor="text2"/>
    </w:rPr>
  </w:style>
  <w:style w:type="paragraph" w:styleId="Cytat">
    <w:name w:val="Quote"/>
    <w:basedOn w:val="Normalny"/>
    <w:next w:val="Normalny"/>
    <w:link w:val="CytatZnak"/>
    <w:uiPriority w:val="29"/>
    <w:qFormat/>
    <w:rsid w:val="00D26463"/>
    <w:pPr>
      <w:spacing w:before="200"/>
      <w:ind w:left="864" w:right="864"/>
      <w:jc w:val="center"/>
    </w:pPr>
    <w:rPr>
      <w:i/>
      <w:iCs/>
      <w:color w:val="31418D"/>
    </w:rPr>
  </w:style>
  <w:style w:type="character" w:customStyle="1" w:styleId="CytatZnak">
    <w:name w:val="Cytat Znak"/>
    <w:basedOn w:val="Domylnaczcionkaakapitu"/>
    <w:link w:val="Cytat"/>
    <w:uiPriority w:val="29"/>
    <w:rsid w:val="00D26463"/>
    <w:rPr>
      <w:i/>
      <w:iCs/>
      <w:color w:val="31418D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1BEC"/>
    <w:pPr>
      <w:pBdr>
        <w:top w:val="single" w:sz="4" w:space="10" w:color="31418D" w:themeColor="accent1"/>
        <w:bottom w:val="single" w:sz="4" w:space="10" w:color="31418D" w:themeColor="accent1"/>
      </w:pBdr>
      <w:spacing w:before="360" w:after="360"/>
      <w:ind w:left="864" w:right="864"/>
      <w:jc w:val="center"/>
    </w:pPr>
    <w:rPr>
      <w:i/>
      <w:iCs/>
      <w:color w:val="31418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1BEC"/>
    <w:rPr>
      <w:i/>
      <w:iCs/>
      <w:color w:val="31418D"/>
      <w:sz w:val="24"/>
    </w:rPr>
  </w:style>
  <w:style w:type="character" w:styleId="Odwoaniedelikatne">
    <w:name w:val="Subtle Reference"/>
    <w:basedOn w:val="Domylnaczcionkaakapitu"/>
    <w:uiPriority w:val="31"/>
    <w:qFormat/>
    <w:rsid w:val="008C1BEC"/>
    <w:rPr>
      <w:smallCaps/>
      <w:color w:val="31418D"/>
    </w:rPr>
  </w:style>
  <w:style w:type="character" w:styleId="Odwoanieintensywne">
    <w:name w:val="Intense Reference"/>
    <w:basedOn w:val="Domylnaczcionkaakapitu"/>
    <w:uiPriority w:val="32"/>
    <w:qFormat/>
    <w:rsid w:val="008C1BEC"/>
    <w:rPr>
      <w:b/>
      <w:bCs/>
      <w:smallCaps/>
      <w:color w:val="31418D"/>
      <w:spacing w:val="5"/>
    </w:rPr>
  </w:style>
  <w:style w:type="character" w:styleId="Tytuksiki">
    <w:name w:val="Book Title"/>
    <w:basedOn w:val="Domylnaczcionkaakapitu"/>
    <w:uiPriority w:val="33"/>
    <w:qFormat/>
    <w:rsid w:val="008C1BEC"/>
    <w:rPr>
      <w:b/>
      <w:bCs/>
      <w:i/>
      <w:iCs/>
      <w:spacing w:val="5"/>
    </w:rPr>
  </w:style>
  <w:style w:type="table" w:styleId="Tabela-Siatka">
    <w:name w:val="Table Grid"/>
    <w:basedOn w:val="Standardowy"/>
    <w:uiPriority w:val="39"/>
    <w:rsid w:val="00D8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775C31"/>
    <w:rPr>
      <w:rFonts w:ascii="Calibri Light" w:eastAsia="Times New Roman" w:hAnsi="Calibri Light" w:cs="Times New Roman"/>
      <w:sz w:val="23"/>
      <w:szCs w:val="23"/>
    </w:rPr>
  </w:style>
  <w:style w:type="table" w:customStyle="1" w:styleId="Zwykatabela11">
    <w:name w:val="Zwykła tabela 11"/>
    <w:basedOn w:val="Standardowy"/>
    <w:uiPriority w:val="41"/>
    <w:rsid w:val="001116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opkapierwszastrona">
    <w:name w:val="stopka pierwsza strona"/>
    <w:basedOn w:val="Normalny"/>
    <w:qFormat/>
    <w:rsid w:val="00E67681"/>
    <w:pPr>
      <w:spacing w:after="0" w:line="264" w:lineRule="auto"/>
    </w:pPr>
    <w:rPr>
      <w:color w:val="354698" w:themeColor="text1" w:themeTint="F2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CF6E2B"/>
    <w:pPr>
      <w:spacing w:after="0" w:line="240" w:lineRule="auto"/>
    </w:pPr>
    <w:rPr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ela">
    <w:name w:val="Tabela"/>
    <w:basedOn w:val="Normalny"/>
    <w:qFormat/>
    <w:rsid w:val="00CF6E2B"/>
    <w:pPr>
      <w:spacing w:after="0" w:line="264" w:lineRule="auto"/>
    </w:pPr>
    <w:rPr>
      <w:color w:val="4A4A49"/>
      <w:sz w:val="21"/>
      <w:szCs w:val="21"/>
      <w:lang w:val="en-US"/>
    </w:rPr>
  </w:style>
  <w:style w:type="paragraph" w:customStyle="1" w:styleId="Styl1">
    <w:name w:val="Styl1"/>
    <w:basedOn w:val="Tabela"/>
    <w:qFormat/>
    <w:rsid w:val="00CF6E2B"/>
    <w:pPr>
      <w:spacing w:before="120" w:after="120"/>
    </w:pPr>
    <w:rPr>
      <w:rFonts w:asciiTheme="minorHAnsi" w:hAnsiTheme="minorHAnsi"/>
    </w:rPr>
  </w:style>
  <w:style w:type="paragraph" w:customStyle="1" w:styleId="Tabela1">
    <w:name w:val="Tabela 1"/>
    <w:basedOn w:val="Styl1"/>
    <w:qFormat/>
    <w:rsid w:val="00CF6E2B"/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4D1B13"/>
    <w:pPr>
      <w:spacing w:after="120" w:line="240" w:lineRule="auto"/>
      <w:jc w:val="left"/>
    </w:pPr>
    <w:rPr>
      <w:iCs/>
      <w:color w:val="4A4A49" w:themeColor="text2"/>
      <w:sz w:val="18"/>
      <w:szCs w:val="18"/>
    </w:rPr>
  </w:style>
  <w:style w:type="paragraph" w:customStyle="1" w:styleId="rdo">
    <w:name w:val="Źródło"/>
    <w:basedOn w:val="Legenda"/>
    <w:link w:val="rdoZnak"/>
    <w:qFormat/>
    <w:rsid w:val="004D1B13"/>
    <w:pPr>
      <w:spacing w:before="120"/>
      <w:jc w:val="both"/>
    </w:pPr>
  </w:style>
  <w:style w:type="paragraph" w:customStyle="1" w:styleId="Tytuwykresutabeli">
    <w:name w:val="Tytuł wykresu/tabeli"/>
    <w:basedOn w:val="Legenda"/>
    <w:link w:val="TytuwykresutabeliZnak"/>
    <w:qFormat/>
    <w:rsid w:val="007060FC"/>
    <w:pPr>
      <w:keepNext/>
    </w:pPr>
    <w:rPr>
      <w:b/>
      <w:bCs/>
      <w:color w:val="4A4A49"/>
      <w:sz w:val="21"/>
      <w:szCs w:val="23"/>
    </w:rPr>
  </w:style>
  <w:style w:type="character" w:customStyle="1" w:styleId="LegendaZnak">
    <w:name w:val="Legenda Znak"/>
    <w:basedOn w:val="Domylnaczcionkaakapitu"/>
    <w:link w:val="Legenda"/>
    <w:uiPriority w:val="35"/>
    <w:rsid w:val="004D1B13"/>
    <w:rPr>
      <w:rFonts w:asciiTheme="majorHAnsi" w:hAnsiTheme="majorHAnsi"/>
      <w:iCs/>
      <w:color w:val="4A4A49" w:themeColor="text2"/>
      <w:sz w:val="18"/>
      <w:szCs w:val="18"/>
    </w:rPr>
  </w:style>
  <w:style w:type="character" w:customStyle="1" w:styleId="rdoZnak">
    <w:name w:val="Źródło Znak"/>
    <w:basedOn w:val="LegendaZnak"/>
    <w:link w:val="rdo"/>
    <w:rsid w:val="004D1B13"/>
    <w:rPr>
      <w:rFonts w:asciiTheme="majorHAnsi" w:hAnsiTheme="majorHAnsi"/>
      <w:iCs/>
      <w:color w:val="4A4A49" w:themeColor="text2"/>
      <w:sz w:val="18"/>
      <w:szCs w:val="18"/>
    </w:rPr>
  </w:style>
  <w:style w:type="character" w:customStyle="1" w:styleId="TytuwykresutabeliZnak">
    <w:name w:val="Tytuł wykresu/tabeli Znak"/>
    <w:basedOn w:val="LegendaZnak"/>
    <w:link w:val="Tytuwykresutabeli"/>
    <w:rsid w:val="007060FC"/>
    <w:rPr>
      <w:rFonts w:asciiTheme="majorHAnsi" w:hAnsiTheme="majorHAnsi"/>
      <w:b/>
      <w:bCs/>
      <w:iCs/>
      <w:color w:val="4A4A49"/>
      <w:sz w:val="21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9C6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2A59EA"/>
    <w:rPr>
      <w:color w:val="31418D" w:themeColor="followedHyperlink"/>
      <w:u w:val="single"/>
    </w:rPr>
  </w:style>
  <w:style w:type="paragraph" w:styleId="Akapitzlist">
    <w:name w:val="List Paragraph"/>
    <w:aliases w:val="Dot pt,F5 List Paragraph,List Paragraph1,L1,Numerowanie,List Paragraph"/>
    <w:basedOn w:val="Normalny"/>
    <w:link w:val="AkapitzlistZnak"/>
    <w:uiPriority w:val="34"/>
    <w:qFormat/>
    <w:rsid w:val="00391A56"/>
    <w:pPr>
      <w:ind w:left="720"/>
      <w:contextualSpacing/>
    </w:pPr>
  </w:style>
  <w:style w:type="table" w:customStyle="1" w:styleId="Siatkatabelijasna11">
    <w:name w:val="Siatka tabeli — jasna11"/>
    <w:basedOn w:val="Standardowy"/>
    <w:uiPriority w:val="40"/>
    <w:rsid w:val="00CF4012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9F1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3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38C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38C"/>
    <w:rPr>
      <w:rFonts w:asciiTheme="majorHAnsi" w:hAnsiTheme="majorHAnsi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6A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6AF"/>
    <w:pPr>
      <w:spacing w:after="0" w:line="240" w:lineRule="auto"/>
      <w:jc w:val="left"/>
    </w:pPr>
    <w:rPr>
      <w:rFonts w:asciiTheme="minorHAnsi" w:eastAsiaTheme="minorEastAsia" w:hAnsiTheme="minorHAns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6AF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aliases w:val="Dot pt Znak,F5 List Paragraph Znak,List Paragraph1 Znak,L1 Znak,Numerowanie Znak,List Paragraph Znak"/>
    <w:link w:val="Akapitzlist"/>
    <w:uiPriority w:val="34"/>
    <w:rsid w:val="0000034F"/>
    <w:rPr>
      <w:rFonts w:asciiTheme="majorHAnsi" w:hAnsiTheme="majorHAnsi"/>
      <w:sz w:val="23"/>
    </w:rPr>
  </w:style>
  <w:style w:type="paragraph" w:styleId="Poprawka">
    <w:name w:val="Revision"/>
    <w:hidden/>
    <w:uiPriority w:val="99"/>
    <w:semiHidden/>
    <w:rsid w:val="002243B2"/>
    <w:pPr>
      <w:spacing w:after="0" w:line="240" w:lineRule="auto"/>
    </w:pPr>
    <w:rPr>
      <w:rFonts w:asciiTheme="majorHAnsi" w:hAnsiTheme="majorHAnsi"/>
      <w:sz w:val="23"/>
    </w:rPr>
  </w:style>
  <w:style w:type="paragraph" w:customStyle="1" w:styleId="Adresodbiorcy">
    <w:name w:val="Adres odbiorcy"/>
    <w:basedOn w:val="Normalny"/>
    <w:uiPriority w:val="99"/>
    <w:rsid w:val="000050C7"/>
    <w:pPr>
      <w:spacing w:after="0" w:line="220" w:lineRule="atLeast"/>
    </w:pPr>
    <w:rPr>
      <w:rFonts w:ascii="Arial" w:eastAsia="Times New Roman" w:hAnsi="Arial" w:cs="Times New Roman"/>
      <w:spacing w:val="-5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UKE">
      <a:dk1>
        <a:srgbClr val="31418D"/>
      </a:dk1>
      <a:lt1>
        <a:srgbClr val="FFFFFF"/>
      </a:lt1>
      <a:dk2>
        <a:srgbClr val="4A4A49"/>
      </a:dk2>
      <a:lt2>
        <a:srgbClr val="DADADA"/>
      </a:lt2>
      <a:accent1>
        <a:srgbClr val="31418D"/>
      </a:accent1>
      <a:accent2>
        <a:srgbClr val="C7D540"/>
      </a:accent2>
      <a:accent3>
        <a:srgbClr val="4A4A49"/>
      </a:accent3>
      <a:accent4>
        <a:srgbClr val="DADADA"/>
      </a:accent4>
      <a:accent5>
        <a:srgbClr val="6986C3"/>
      </a:accent5>
      <a:accent6>
        <a:srgbClr val="1A3069"/>
      </a:accent6>
      <a:hlink>
        <a:srgbClr val="31418D"/>
      </a:hlink>
      <a:folHlink>
        <a:srgbClr val="31418D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>
          <a:noFill/>
        </a:ln>
        <a:effectLst/>
      </a:spPr>
      <a:bodyPr rot="0" spcFirstLastPara="0" vertOverflow="overflow" horzOverflow="overflow" vert="horz" wrap="square" lIns="936000" tIns="72000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2017-10-17T00:00:00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B3338E-27AE-4602-B236-4DA986AE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3371</Words>
  <Characters>20229</Characters>
  <Application>Microsoft Office Word</Application>
  <DocSecurity>4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Testy Ekonomicznej Odtwarzalności-ERT dla Orange Polska S.A.</vt:lpstr>
      <vt:lpstr>Test Margin Squeeze</vt:lpstr>
    </vt:vector>
  </TitlesOfParts>
  <Company/>
  <LinksUpToDate>false</LinksUpToDate>
  <CharactersWithSpaces>23553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Testy Ekonomicznej Odtwarzalności-ERT dla Orange Polska S.A.</dc:title>
  <dc:subject>Opis narzędzia</dc:subject>
  <dc:creator>UKE-DR-WPS</dc:creator>
  <cp:lastModifiedBy>Sałata Paulina</cp:lastModifiedBy>
  <cp:revision>2</cp:revision>
  <cp:lastPrinted>2021-06-29T06:45:00Z</cp:lastPrinted>
  <dcterms:created xsi:type="dcterms:W3CDTF">2022-06-14T06:26:00Z</dcterms:created>
  <dcterms:modified xsi:type="dcterms:W3CDTF">2022-06-14T06:26:00Z</dcterms:modified>
</cp:coreProperties>
</file>